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98" w:rsidRDefault="00DA3B98" w:rsidP="00DA3B98">
      <w:pPr>
        <w:jc w:val="center"/>
        <w:rPr>
          <w:rFonts w:ascii="Calibri" w:eastAsia="Calibri" w:hAnsi="Calibri" w:cs="Times New Roman"/>
          <w:b/>
        </w:rPr>
      </w:pPr>
    </w:p>
    <w:p w:rsidR="00DA3B98" w:rsidRDefault="00DA3B98" w:rsidP="00DA3B98">
      <w:pPr>
        <w:jc w:val="center"/>
        <w:rPr>
          <w:rFonts w:ascii="Calibri" w:eastAsia="Calibri" w:hAnsi="Calibri" w:cs="Times New Roman"/>
          <w:b/>
        </w:rPr>
      </w:pPr>
    </w:p>
    <w:p w:rsidR="00DA3B98" w:rsidRDefault="00DA3B98" w:rsidP="00DA3B98">
      <w:pPr>
        <w:jc w:val="center"/>
        <w:rPr>
          <w:rFonts w:ascii="Calibri" w:eastAsia="Calibri" w:hAnsi="Calibri" w:cs="Times New Roman"/>
          <w:b/>
        </w:rPr>
      </w:pPr>
    </w:p>
    <w:p w:rsidR="00DA3B98" w:rsidRDefault="00DA3B98" w:rsidP="00DA3B98">
      <w:pPr>
        <w:jc w:val="center"/>
        <w:rPr>
          <w:rFonts w:ascii="Calibri" w:eastAsia="Calibri" w:hAnsi="Calibri" w:cs="Times New Roman"/>
          <w:b/>
        </w:rPr>
      </w:pPr>
    </w:p>
    <w:p w:rsidR="00DA3B98" w:rsidRPr="009208F3" w:rsidRDefault="00881694" w:rsidP="00DA3B98">
      <w:pPr>
        <w:jc w:val="center"/>
        <w:rPr>
          <w:rFonts w:ascii="Calibri" w:eastAsia="Calibri" w:hAnsi="Calibri" w:cs="Times New Roman"/>
          <w:b/>
          <w:sz w:val="36"/>
          <w:szCs w:val="36"/>
        </w:rPr>
      </w:pPr>
      <w:r>
        <w:rPr>
          <w:rFonts w:ascii="Calibri" w:eastAsia="Calibri" w:hAnsi="Calibri" w:cs="Times New Roman"/>
          <w:b/>
          <w:sz w:val="36"/>
          <w:szCs w:val="36"/>
        </w:rPr>
        <w:t>NOTA INFORMATIVA</w:t>
      </w:r>
    </w:p>
    <w:p w:rsidR="00205423" w:rsidRDefault="00205423" w:rsidP="00205423">
      <w:pPr>
        <w:pStyle w:val="Default"/>
      </w:pPr>
    </w:p>
    <w:p w:rsidR="00205423" w:rsidRPr="00205423" w:rsidRDefault="00205423" w:rsidP="00F6657B">
      <w:pPr>
        <w:pStyle w:val="Default"/>
        <w:jc w:val="center"/>
        <w:rPr>
          <w:b/>
          <w:bCs/>
          <w:sz w:val="28"/>
          <w:szCs w:val="28"/>
        </w:rPr>
      </w:pPr>
      <w:r w:rsidRPr="00205423">
        <w:rPr>
          <w:b/>
          <w:bCs/>
          <w:sz w:val="28"/>
          <w:szCs w:val="28"/>
        </w:rPr>
        <w:t xml:space="preserve">APOIO À ADAPTAÇÃO DAS </w:t>
      </w:r>
      <w:r w:rsidR="00F6657B">
        <w:rPr>
          <w:b/>
          <w:bCs/>
          <w:sz w:val="28"/>
          <w:szCs w:val="28"/>
        </w:rPr>
        <w:t xml:space="preserve">PME </w:t>
      </w:r>
      <w:r w:rsidRPr="00205423">
        <w:rPr>
          <w:b/>
          <w:bCs/>
          <w:sz w:val="28"/>
          <w:szCs w:val="28"/>
        </w:rPr>
        <w:t xml:space="preserve"> AO CONTEXTO COVID-19</w:t>
      </w:r>
    </w:p>
    <w:p w:rsidR="0031492C" w:rsidRDefault="00205423" w:rsidP="00205423">
      <w:pPr>
        <w:jc w:val="center"/>
        <w:rPr>
          <w:rFonts w:ascii="Calibri" w:eastAsia="Calibri" w:hAnsi="Calibri" w:cs="Times New Roman"/>
        </w:rPr>
      </w:pPr>
      <w:r>
        <w:rPr>
          <w:b/>
          <w:bCs/>
          <w:sz w:val="32"/>
          <w:szCs w:val="32"/>
        </w:rPr>
        <w:t>- Informação e condições de acesso -</w:t>
      </w:r>
    </w:p>
    <w:p w:rsidR="00205423" w:rsidRDefault="00205423" w:rsidP="00205423">
      <w:pPr>
        <w:spacing w:line="360" w:lineRule="auto"/>
        <w:ind w:left="720"/>
        <w:contextualSpacing/>
        <w:jc w:val="both"/>
        <w:rPr>
          <w:rFonts w:ascii="Arial" w:eastAsia="Calibri" w:hAnsi="Arial" w:cs="Arial"/>
        </w:rPr>
      </w:pP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205423" w:rsidRPr="00205423" w:rsidTr="00205423">
        <w:tc>
          <w:tcPr>
            <w:tcW w:w="8000" w:type="dxa"/>
            <w:shd w:val="clear" w:color="auto" w:fill="AEAAAA" w:themeFill="background2" w:themeFillShade="BF"/>
          </w:tcPr>
          <w:p w:rsidR="00205423" w:rsidRPr="00205423" w:rsidRDefault="00205423" w:rsidP="00864D04">
            <w:pPr>
              <w:spacing w:line="360" w:lineRule="auto"/>
              <w:contextualSpacing/>
              <w:jc w:val="both"/>
              <w:rPr>
                <w:rFonts w:ascii="Arial" w:eastAsia="Calibri" w:hAnsi="Arial" w:cs="Arial"/>
                <w:b/>
              </w:rPr>
            </w:pPr>
            <w:r w:rsidRPr="00205423">
              <w:rPr>
                <w:rFonts w:ascii="Arial" w:eastAsia="Calibri" w:hAnsi="Arial" w:cs="Arial"/>
                <w:b/>
              </w:rPr>
              <w:t>OBJETIVO</w:t>
            </w:r>
          </w:p>
        </w:tc>
      </w:tr>
    </w:tbl>
    <w:p w:rsidR="00F6657B" w:rsidRDefault="00F6657B" w:rsidP="00205423">
      <w:pPr>
        <w:spacing w:line="360" w:lineRule="auto"/>
        <w:ind w:left="720"/>
        <w:contextualSpacing/>
        <w:jc w:val="both"/>
        <w:rPr>
          <w:rFonts w:ascii="Arial" w:eastAsia="Calibri" w:hAnsi="Arial" w:cs="Arial"/>
        </w:rPr>
      </w:pPr>
    </w:p>
    <w:p w:rsidR="00205423" w:rsidRDefault="00F6657B" w:rsidP="00205423">
      <w:pPr>
        <w:spacing w:line="360" w:lineRule="auto"/>
        <w:ind w:left="720"/>
        <w:contextualSpacing/>
        <w:jc w:val="both"/>
        <w:rPr>
          <w:rFonts w:ascii="Arial" w:eastAsia="Calibri" w:hAnsi="Arial" w:cs="Arial"/>
        </w:rPr>
      </w:pPr>
      <w:r w:rsidRPr="00205423">
        <w:rPr>
          <w:rFonts w:ascii="Arial" w:eastAsia="Calibri" w:hAnsi="Arial" w:cs="Arial"/>
        </w:rPr>
        <w:t>Este sistema de apoio, designado programa ADAPTAR, pretende financiar as empresas no esforço de adaptação e de investimento nos seus estabelecimentos, ajustando os métodos de organização do trabalho e de relacionamento com clientes e fornecedores às novas condições de contexto da pandemia da doença COVID-19.</w:t>
      </w:r>
    </w:p>
    <w:p w:rsidR="00205423" w:rsidRDefault="00205423" w:rsidP="00205423">
      <w:pPr>
        <w:spacing w:line="360" w:lineRule="auto"/>
        <w:ind w:left="720"/>
        <w:contextualSpacing/>
        <w:jc w:val="both"/>
        <w:rPr>
          <w:rFonts w:ascii="Arial" w:eastAsia="Calibri" w:hAnsi="Arial" w:cs="Arial"/>
        </w:rPr>
      </w:pPr>
      <w:r w:rsidRPr="00205423">
        <w:rPr>
          <w:rFonts w:ascii="Arial" w:eastAsia="Calibri" w:hAnsi="Arial" w:cs="Arial"/>
        </w:rPr>
        <w:t>O objetivo é minorar os custos acrescidos decorrentes do cumprimento das normas estabelecidas e das recomendações das autoridades competentes.</w:t>
      </w:r>
    </w:p>
    <w:p w:rsidR="00205423" w:rsidRDefault="00205423" w:rsidP="00205423">
      <w:pPr>
        <w:spacing w:line="360" w:lineRule="auto"/>
        <w:ind w:left="720"/>
        <w:contextualSpacing/>
        <w:jc w:val="both"/>
        <w:rPr>
          <w:rFonts w:ascii="Arial" w:eastAsia="Calibri" w:hAnsi="Arial" w:cs="Arial"/>
        </w:rPr>
      </w:pPr>
    </w:p>
    <w:tbl>
      <w:tblPr>
        <w:tblStyle w:val="Tabelacomgrelha"/>
        <w:tblW w:w="0" w:type="auto"/>
        <w:tblInd w:w="720" w:type="dxa"/>
        <w:tblLook w:val="04A0" w:firstRow="1" w:lastRow="0" w:firstColumn="1" w:lastColumn="0" w:noHBand="0" w:noVBand="1"/>
      </w:tblPr>
      <w:tblGrid>
        <w:gridCol w:w="8000"/>
      </w:tblGrid>
      <w:tr w:rsidR="00205423" w:rsidTr="00205423">
        <w:tc>
          <w:tcPr>
            <w:tcW w:w="8644" w:type="dxa"/>
            <w:tcBorders>
              <w:top w:val="nil"/>
              <w:left w:val="nil"/>
              <w:bottom w:val="nil"/>
              <w:right w:val="nil"/>
            </w:tcBorders>
            <w:shd w:val="clear" w:color="auto" w:fill="AEAAAA" w:themeFill="background2" w:themeFillShade="BF"/>
          </w:tcPr>
          <w:p w:rsidR="00205423" w:rsidRDefault="00205423" w:rsidP="00205423">
            <w:pPr>
              <w:spacing w:line="360" w:lineRule="auto"/>
              <w:contextualSpacing/>
              <w:jc w:val="both"/>
              <w:rPr>
                <w:rFonts w:ascii="Arial" w:eastAsia="Calibri" w:hAnsi="Arial" w:cs="Arial"/>
              </w:rPr>
            </w:pPr>
            <w:r w:rsidRPr="00205423">
              <w:rPr>
                <w:rFonts w:ascii="Arial" w:eastAsia="Calibri" w:hAnsi="Arial" w:cs="Arial"/>
                <w:b/>
              </w:rPr>
              <w:t>BENEFICIÁRIOS</w:t>
            </w:r>
          </w:p>
        </w:tc>
      </w:tr>
    </w:tbl>
    <w:p w:rsidR="00205423" w:rsidRDefault="00205423" w:rsidP="00205423">
      <w:pPr>
        <w:spacing w:line="360" w:lineRule="auto"/>
        <w:ind w:left="720"/>
        <w:contextualSpacing/>
        <w:jc w:val="both"/>
        <w:rPr>
          <w:rFonts w:ascii="Arial" w:eastAsia="Calibri" w:hAnsi="Arial" w:cs="Arial"/>
        </w:rPr>
      </w:pPr>
    </w:p>
    <w:p w:rsidR="00205423" w:rsidRDefault="00B8534F" w:rsidP="00205423">
      <w:pPr>
        <w:spacing w:line="360" w:lineRule="auto"/>
        <w:ind w:left="720"/>
        <w:contextualSpacing/>
        <w:jc w:val="both"/>
        <w:rPr>
          <w:rFonts w:ascii="Arial" w:eastAsia="Calibri" w:hAnsi="Arial" w:cs="Arial"/>
        </w:rPr>
      </w:pPr>
      <w:r w:rsidRPr="00B8534F">
        <w:rPr>
          <w:rFonts w:ascii="Arial" w:eastAsia="Calibri" w:hAnsi="Arial" w:cs="Arial"/>
        </w:rPr>
        <w:t>Pequenas, médias e micro empresas das regiões NUTS II do Continente (Norte, Centro, Lisboa, Alentejo e Algarve), de qualquer natureza e sob qualquer forma jurídica, que empreguem menos de 250 pessoas, cujo volume de negócios anual não exceda 50 milhões de euros ou cujo balanço total anual não exceda 43 milhões de euros e que detenham a correspondente Certificação Eletrónica.</w:t>
      </w:r>
    </w:p>
    <w:p w:rsidR="00B8534F" w:rsidRDefault="00B8534F" w:rsidP="00205423">
      <w:pPr>
        <w:spacing w:line="360" w:lineRule="auto"/>
        <w:ind w:left="720"/>
        <w:contextualSpacing/>
        <w:jc w:val="both"/>
        <w:rPr>
          <w:rFonts w:ascii="Arial" w:eastAsia="Calibri" w:hAnsi="Arial" w:cs="Arial"/>
        </w:rPr>
      </w:pP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205423" w:rsidRPr="00205423" w:rsidTr="00205423">
        <w:tc>
          <w:tcPr>
            <w:tcW w:w="8000" w:type="dxa"/>
            <w:shd w:val="clear" w:color="auto" w:fill="AEAAAA" w:themeFill="background2" w:themeFillShade="BF"/>
          </w:tcPr>
          <w:p w:rsidR="00205423" w:rsidRPr="00205423" w:rsidRDefault="00205423" w:rsidP="00CA1980">
            <w:pPr>
              <w:spacing w:line="360" w:lineRule="auto"/>
              <w:contextualSpacing/>
              <w:jc w:val="both"/>
              <w:rPr>
                <w:rFonts w:ascii="Arial" w:eastAsia="Calibri" w:hAnsi="Arial" w:cs="Arial"/>
                <w:b/>
              </w:rPr>
            </w:pPr>
            <w:r w:rsidRPr="00205423">
              <w:rPr>
                <w:rFonts w:ascii="Arial" w:eastAsia="Calibri" w:hAnsi="Arial" w:cs="Arial"/>
                <w:b/>
              </w:rPr>
              <w:t>CONDIÇÕES DE ACESSO</w:t>
            </w:r>
          </w:p>
        </w:tc>
      </w:tr>
    </w:tbl>
    <w:p w:rsidR="00B8534F" w:rsidRDefault="00B8534F" w:rsidP="00B8534F">
      <w:pPr>
        <w:pStyle w:val="PargrafodaLista"/>
        <w:spacing w:line="360" w:lineRule="auto"/>
        <w:ind w:left="1440"/>
        <w:jc w:val="both"/>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São exigidos os seguintes critérios que, sempre que possível, são comprovados através de procedimentos automáticos do Balcão do Portugal 2020:</w:t>
      </w:r>
    </w:p>
    <w:p w:rsidR="00B8534F" w:rsidRDefault="00B8534F" w:rsidP="00B8534F">
      <w:pPr>
        <w:spacing w:line="360" w:lineRule="auto"/>
        <w:jc w:val="both"/>
        <w:rPr>
          <w:rFonts w:ascii="Arial" w:eastAsia="Calibri" w:hAnsi="Arial" w:cs="Arial"/>
        </w:rPr>
      </w:pPr>
    </w:p>
    <w:p w:rsidR="00B8534F" w:rsidRDefault="00B8534F" w:rsidP="00B8534F">
      <w:pPr>
        <w:spacing w:line="360" w:lineRule="auto"/>
        <w:jc w:val="both"/>
        <w:rPr>
          <w:rFonts w:ascii="Arial" w:eastAsia="Calibri" w:hAnsi="Arial" w:cs="Arial"/>
        </w:rPr>
      </w:pPr>
    </w:p>
    <w:p w:rsidR="00B8534F" w:rsidRDefault="00B8534F" w:rsidP="00B8534F">
      <w:pPr>
        <w:spacing w:line="360" w:lineRule="auto"/>
        <w:jc w:val="both"/>
        <w:rPr>
          <w:rFonts w:ascii="Arial" w:eastAsia="Calibri" w:hAnsi="Arial" w:cs="Arial"/>
        </w:rPr>
      </w:pPr>
    </w:p>
    <w:p w:rsidR="00B8534F" w:rsidRPr="00B8534F" w:rsidRDefault="00B8534F" w:rsidP="00B8534F">
      <w:pPr>
        <w:spacing w:line="360" w:lineRule="auto"/>
        <w:jc w:val="both"/>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Para efeitos de comprovação do estatuto de PME, ter a correspondente Certificação Eletrónica;</w:t>
      </w:r>
    </w:p>
    <w:p w:rsidR="00B8534F" w:rsidRPr="00B8534F" w:rsidRDefault="00B8534F" w:rsidP="00B8534F">
      <w:pPr>
        <w:pStyle w:val="PargrafodaLista"/>
        <w:spacing w:line="360" w:lineRule="auto"/>
        <w:ind w:left="1440"/>
        <w:jc w:val="both"/>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Estar legalmente constituída a 1 de março de 2020;</w:t>
      </w:r>
    </w:p>
    <w:p w:rsidR="00B8534F" w:rsidRPr="00B8534F" w:rsidRDefault="00B8534F" w:rsidP="00B8534F">
      <w:pPr>
        <w:pStyle w:val="PargrafodaLista"/>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Dispor de contabilidade organizada nos termos da legislação aplicável;</w:t>
      </w:r>
    </w:p>
    <w:p w:rsidR="00B8534F" w:rsidRPr="00B8534F" w:rsidRDefault="00B8534F" w:rsidP="00B8534F">
      <w:pPr>
        <w:pStyle w:val="PargrafodaLista"/>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Assegurar as fontes de financiamento do projeto;</w:t>
      </w:r>
    </w:p>
    <w:p w:rsidR="00B8534F" w:rsidRPr="00B8534F" w:rsidRDefault="00B8534F" w:rsidP="00B8534F">
      <w:pPr>
        <w:pStyle w:val="PargrafodaLista"/>
        <w:rPr>
          <w:rFonts w:ascii="Arial" w:eastAsia="Calibri" w:hAnsi="Arial" w:cs="Arial"/>
        </w:rPr>
      </w:pPr>
    </w:p>
    <w:p w:rsidR="00205423"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Ter a situação regularizada em matéria de reposições, no âmbito dos financiamentos dos Fundos Europeus Estruturais e de Investimento (FEEI);</w:t>
      </w:r>
    </w:p>
    <w:p w:rsidR="00B8534F" w:rsidRPr="00B8534F" w:rsidRDefault="00B8534F" w:rsidP="00B8534F">
      <w:pPr>
        <w:pStyle w:val="PargrafodaLista"/>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Ter a situação tributária e contributiva regularizada perante a administração fiscal e a segurança social;</w:t>
      </w:r>
    </w:p>
    <w:p w:rsidR="00B8534F" w:rsidRPr="00B8534F" w:rsidRDefault="00B8534F" w:rsidP="00B8534F">
      <w:pPr>
        <w:pStyle w:val="PargrafodaLista"/>
        <w:rPr>
          <w:rFonts w:ascii="Arial" w:eastAsia="Calibri" w:hAnsi="Arial" w:cs="Arial"/>
        </w:rPr>
      </w:pPr>
    </w:p>
    <w:p w:rsidR="00B8534F"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Não ser uma empresa em dificuldade;</w:t>
      </w:r>
    </w:p>
    <w:p w:rsidR="00B8534F" w:rsidRPr="00B8534F" w:rsidRDefault="00B8534F" w:rsidP="00B8534F">
      <w:pPr>
        <w:pStyle w:val="PargrafodaLista"/>
        <w:rPr>
          <w:rFonts w:ascii="Arial" w:eastAsia="Calibri" w:hAnsi="Arial" w:cs="Arial"/>
        </w:rPr>
      </w:pPr>
    </w:p>
    <w:p w:rsidR="00B8534F" w:rsidRPr="00205423" w:rsidRDefault="00B8534F" w:rsidP="00B8534F">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Declarar que não se trata de uma empresa sujeita a uma injunção de recuperação, ainda pendente, na sequência de uma decisão anterior da Comissão que declara um auxílio ilegal e incompatível com o mercado interno.</w:t>
      </w: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205423" w:rsidRPr="00205423" w:rsidTr="00B8534F">
        <w:tc>
          <w:tcPr>
            <w:tcW w:w="8000" w:type="dxa"/>
            <w:shd w:val="clear" w:color="auto" w:fill="AEAAAA" w:themeFill="background2" w:themeFillShade="BF"/>
          </w:tcPr>
          <w:p w:rsidR="00205423" w:rsidRPr="00205423" w:rsidRDefault="00205423" w:rsidP="0054004B">
            <w:pPr>
              <w:spacing w:line="360" w:lineRule="auto"/>
              <w:contextualSpacing/>
              <w:jc w:val="both"/>
              <w:rPr>
                <w:rFonts w:ascii="Arial" w:eastAsia="Calibri" w:hAnsi="Arial" w:cs="Arial"/>
                <w:b/>
              </w:rPr>
            </w:pPr>
            <w:r w:rsidRPr="00205423">
              <w:rPr>
                <w:rFonts w:ascii="Arial" w:eastAsia="Calibri" w:hAnsi="Arial" w:cs="Arial"/>
                <w:b/>
              </w:rPr>
              <w:t>CRITÉRIOS DE ELEGIBILIDADE DOS PROJETOS</w:t>
            </w:r>
          </w:p>
        </w:tc>
      </w:tr>
    </w:tbl>
    <w:p w:rsidR="00F20845" w:rsidRDefault="00F20845" w:rsidP="00F20845">
      <w:pPr>
        <w:pStyle w:val="PargrafodaLista"/>
        <w:spacing w:line="360" w:lineRule="auto"/>
        <w:ind w:left="1440"/>
        <w:jc w:val="both"/>
        <w:rPr>
          <w:rFonts w:ascii="Arial" w:eastAsia="Calibri" w:hAnsi="Arial" w:cs="Arial"/>
        </w:rPr>
      </w:pPr>
    </w:p>
    <w:p w:rsidR="00B8534F" w:rsidRDefault="00B8534F" w:rsidP="00A87430">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Ter por objetivo a realização de um investimento de valor em despesa elegível não inferior a 5 mil euros e não superior a 40 mil euros, para qualificação de processos, organizações, produtos e serviços das PME;</w:t>
      </w:r>
    </w:p>
    <w:p w:rsidR="00A87430" w:rsidRDefault="00A87430" w:rsidP="00A87430">
      <w:pPr>
        <w:pStyle w:val="PargrafodaLista"/>
        <w:spacing w:line="360" w:lineRule="auto"/>
        <w:ind w:left="1440"/>
        <w:jc w:val="both"/>
        <w:rPr>
          <w:rFonts w:ascii="Arial" w:eastAsia="Calibri" w:hAnsi="Arial" w:cs="Arial"/>
        </w:rPr>
      </w:pPr>
    </w:p>
    <w:p w:rsidR="00B8534F" w:rsidRDefault="00B8534F" w:rsidP="00A87430">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Não estar iniciado à data de apresentação da candidatura;</w:t>
      </w:r>
    </w:p>
    <w:p w:rsidR="00A87430" w:rsidRPr="00A87430" w:rsidRDefault="00A87430" w:rsidP="00A87430">
      <w:pPr>
        <w:pStyle w:val="PargrafodaLista"/>
        <w:rPr>
          <w:rFonts w:ascii="Arial" w:eastAsia="Calibri" w:hAnsi="Arial" w:cs="Arial"/>
        </w:rPr>
      </w:pPr>
    </w:p>
    <w:p w:rsidR="00B8534F" w:rsidRDefault="00B8534F" w:rsidP="00A87430">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 xml:space="preserve"> Ter uma duração máxima de execução de seis meses a contar da data de notificação da decisão favorável, tendo como data limite 31 de dezembro de 2020;</w:t>
      </w:r>
    </w:p>
    <w:p w:rsidR="00A87430" w:rsidRPr="00A87430" w:rsidRDefault="00A87430" w:rsidP="00A87430">
      <w:pPr>
        <w:pStyle w:val="PargrafodaLista"/>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Pr="00A87430" w:rsidRDefault="00A87430" w:rsidP="00A87430">
      <w:pPr>
        <w:spacing w:line="360" w:lineRule="auto"/>
        <w:jc w:val="both"/>
        <w:rPr>
          <w:rFonts w:ascii="Arial" w:eastAsia="Calibri" w:hAnsi="Arial" w:cs="Arial"/>
        </w:rPr>
      </w:pPr>
    </w:p>
    <w:p w:rsidR="00B8534F" w:rsidRPr="00B8534F" w:rsidRDefault="00B8534F" w:rsidP="00A87430">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São elegíveis as operações inseridas em todas as atividades económicas, com exceção das que integrem:</w:t>
      </w:r>
    </w:p>
    <w:p w:rsidR="00B8534F" w:rsidRPr="00B8534F" w:rsidRDefault="00B8534F" w:rsidP="00A87430">
      <w:pPr>
        <w:pStyle w:val="PargrafodaLista"/>
        <w:numPr>
          <w:ilvl w:val="0"/>
          <w:numId w:val="15"/>
        </w:numPr>
        <w:spacing w:line="360" w:lineRule="auto"/>
        <w:jc w:val="both"/>
        <w:rPr>
          <w:rFonts w:ascii="Arial" w:eastAsia="Calibri" w:hAnsi="Arial" w:cs="Arial"/>
        </w:rPr>
      </w:pPr>
      <w:r w:rsidRPr="00B8534F">
        <w:rPr>
          <w:rFonts w:ascii="Arial" w:eastAsia="Calibri" w:hAnsi="Arial" w:cs="Arial"/>
        </w:rPr>
        <w:t>O setor da pesca e da aquicultura;</w:t>
      </w:r>
    </w:p>
    <w:p w:rsidR="00B8534F" w:rsidRPr="00B8534F" w:rsidRDefault="00B8534F" w:rsidP="00A87430">
      <w:pPr>
        <w:pStyle w:val="PargrafodaLista"/>
        <w:numPr>
          <w:ilvl w:val="0"/>
          <w:numId w:val="15"/>
        </w:numPr>
        <w:spacing w:line="360" w:lineRule="auto"/>
        <w:jc w:val="both"/>
        <w:rPr>
          <w:rFonts w:ascii="Arial" w:eastAsia="Calibri" w:hAnsi="Arial" w:cs="Arial"/>
        </w:rPr>
      </w:pPr>
      <w:r w:rsidRPr="00B8534F">
        <w:rPr>
          <w:rFonts w:ascii="Arial" w:eastAsia="Calibri" w:hAnsi="Arial" w:cs="Arial"/>
        </w:rPr>
        <w:t>O setor da produção agrícola primária e florestas;</w:t>
      </w:r>
    </w:p>
    <w:p w:rsidR="00B8534F" w:rsidRDefault="00B8534F" w:rsidP="00A87430">
      <w:pPr>
        <w:pStyle w:val="PargrafodaLista"/>
        <w:numPr>
          <w:ilvl w:val="0"/>
          <w:numId w:val="15"/>
        </w:numPr>
        <w:spacing w:line="360" w:lineRule="auto"/>
        <w:jc w:val="both"/>
        <w:rPr>
          <w:rFonts w:ascii="Arial" w:eastAsia="Calibri" w:hAnsi="Arial" w:cs="Arial"/>
        </w:rPr>
      </w:pPr>
      <w:r w:rsidRPr="00B8534F">
        <w:rPr>
          <w:rFonts w:ascii="Arial" w:eastAsia="Calibri" w:hAnsi="Arial" w:cs="Arial"/>
        </w:rPr>
        <w:t>O setor da transformação e comercialização de produtos agrícolas constantes do Anexo I do Tratado de Funcionamento da União Europeia e transformação e comercialização de produtos florestais;</w:t>
      </w:r>
    </w:p>
    <w:p w:rsidR="00A87430" w:rsidRPr="00B8534F" w:rsidRDefault="00A87430" w:rsidP="00A87430">
      <w:pPr>
        <w:pStyle w:val="PargrafodaLista"/>
        <w:spacing w:line="360" w:lineRule="auto"/>
        <w:ind w:left="2160"/>
        <w:jc w:val="both"/>
        <w:rPr>
          <w:rFonts w:ascii="Arial" w:eastAsia="Calibri" w:hAnsi="Arial" w:cs="Arial"/>
        </w:rPr>
      </w:pPr>
    </w:p>
    <w:p w:rsidR="00B8534F" w:rsidRPr="00B8534F" w:rsidRDefault="00B8534F" w:rsidP="00A87430">
      <w:pPr>
        <w:pStyle w:val="PargrafodaLista"/>
        <w:numPr>
          <w:ilvl w:val="0"/>
          <w:numId w:val="15"/>
        </w:numPr>
        <w:spacing w:line="360" w:lineRule="auto"/>
        <w:jc w:val="both"/>
        <w:rPr>
          <w:rFonts w:ascii="Arial" w:eastAsia="Calibri" w:hAnsi="Arial" w:cs="Arial"/>
        </w:rPr>
      </w:pPr>
      <w:r w:rsidRPr="00B8534F">
        <w:rPr>
          <w:rFonts w:ascii="Arial" w:eastAsia="Calibri" w:hAnsi="Arial" w:cs="Arial"/>
        </w:rPr>
        <w:t xml:space="preserve"> Os projetos que incidam nas seguintes atividades previstas na CAE (Classificação Portuguesa de Atividades Económicas):</w:t>
      </w:r>
    </w:p>
    <w:p w:rsidR="00B8534F" w:rsidRPr="00B8534F" w:rsidRDefault="00B8534F" w:rsidP="00A87430">
      <w:pPr>
        <w:pStyle w:val="PargrafodaLista"/>
        <w:spacing w:line="360" w:lineRule="auto"/>
        <w:ind w:left="2148" w:firstLine="684"/>
        <w:jc w:val="both"/>
        <w:rPr>
          <w:rFonts w:ascii="Arial" w:eastAsia="Calibri" w:hAnsi="Arial" w:cs="Arial"/>
        </w:rPr>
      </w:pPr>
      <w:r w:rsidRPr="00B8534F">
        <w:rPr>
          <w:rFonts w:ascii="Arial" w:eastAsia="Calibri" w:hAnsi="Arial" w:cs="Arial"/>
        </w:rPr>
        <w:t>a) Financeiras e de seguros – divisões 64 a 66;</w:t>
      </w:r>
    </w:p>
    <w:p w:rsidR="00B8534F" w:rsidRPr="00B8534F" w:rsidRDefault="00B8534F" w:rsidP="00A87430">
      <w:pPr>
        <w:pStyle w:val="PargrafodaLista"/>
        <w:spacing w:line="360" w:lineRule="auto"/>
        <w:ind w:left="2148" w:firstLine="684"/>
        <w:jc w:val="both"/>
        <w:rPr>
          <w:rFonts w:ascii="Arial" w:eastAsia="Calibri" w:hAnsi="Arial" w:cs="Arial"/>
        </w:rPr>
      </w:pPr>
      <w:r w:rsidRPr="00B8534F">
        <w:rPr>
          <w:rFonts w:ascii="Arial" w:eastAsia="Calibri" w:hAnsi="Arial" w:cs="Arial"/>
        </w:rPr>
        <w:t>b) Defesa – subclasses 25402 e 30400;</w:t>
      </w:r>
    </w:p>
    <w:p w:rsidR="00B8534F" w:rsidRDefault="00B8534F" w:rsidP="00A87430">
      <w:pPr>
        <w:pStyle w:val="PargrafodaLista"/>
        <w:spacing w:line="360" w:lineRule="auto"/>
        <w:ind w:left="2148" w:firstLine="684"/>
        <w:jc w:val="both"/>
        <w:rPr>
          <w:rFonts w:ascii="Arial" w:eastAsia="Calibri" w:hAnsi="Arial" w:cs="Arial"/>
        </w:rPr>
      </w:pPr>
      <w:r w:rsidRPr="00B8534F">
        <w:rPr>
          <w:rFonts w:ascii="Arial" w:eastAsia="Calibri" w:hAnsi="Arial" w:cs="Arial"/>
        </w:rPr>
        <w:t>c) Lotarias e outros jogos de aposta – divisão 92.</w:t>
      </w:r>
    </w:p>
    <w:p w:rsidR="00A87430" w:rsidRPr="00B8534F" w:rsidRDefault="00A87430" w:rsidP="00A87430">
      <w:pPr>
        <w:pStyle w:val="PargrafodaLista"/>
        <w:spacing w:line="360" w:lineRule="auto"/>
        <w:ind w:left="2148" w:firstLine="684"/>
        <w:jc w:val="both"/>
        <w:rPr>
          <w:rFonts w:ascii="Arial" w:eastAsia="Calibri" w:hAnsi="Arial" w:cs="Arial"/>
        </w:rPr>
      </w:pPr>
    </w:p>
    <w:p w:rsidR="00205423" w:rsidRPr="00205423" w:rsidRDefault="00B8534F" w:rsidP="00A87430">
      <w:pPr>
        <w:pStyle w:val="PargrafodaLista"/>
        <w:numPr>
          <w:ilvl w:val="0"/>
          <w:numId w:val="6"/>
        </w:numPr>
        <w:spacing w:line="360" w:lineRule="auto"/>
        <w:jc w:val="both"/>
        <w:rPr>
          <w:rFonts w:ascii="Arial" w:eastAsia="Calibri" w:hAnsi="Arial" w:cs="Arial"/>
        </w:rPr>
      </w:pPr>
      <w:r w:rsidRPr="00B8534F">
        <w:rPr>
          <w:rFonts w:ascii="Arial" w:eastAsia="Calibri" w:hAnsi="Arial" w:cs="Arial"/>
        </w:rPr>
        <w:t>Não são elegíveis os projetos que incluam investimentos decorrentes do cumprimento de obrigações previstas em contratos de concessão ou associação com o Estado (Administração Central ou Local).</w:t>
      </w: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FA1CA8" w:rsidRPr="00FA1CA8" w:rsidTr="00A87430">
        <w:tc>
          <w:tcPr>
            <w:tcW w:w="8000" w:type="dxa"/>
            <w:shd w:val="clear" w:color="auto" w:fill="AEAAAA" w:themeFill="background2" w:themeFillShade="BF"/>
          </w:tcPr>
          <w:p w:rsidR="00FA1CA8" w:rsidRPr="00FA1CA8" w:rsidRDefault="00FA1CA8" w:rsidP="001D1F22">
            <w:pPr>
              <w:spacing w:line="360" w:lineRule="auto"/>
              <w:contextualSpacing/>
              <w:jc w:val="both"/>
              <w:rPr>
                <w:rFonts w:ascii="Arial" w:eastAsia="Calibri" w:hAnsi="Arial" w:cs="Arial"/>
                <w:b/>
              </w:rPr>
            </w:pPr>
            <w:r w:rsidRPr="00FA1CA8">
              <w:rPr>
                <w:rFonts w:ascii="Arial" w:eastAsia="Calibri" w:hAnsi="Arial" w:cs="Arial"/>
                <w:b/>
              </w:rPr>
              <w:t>TAXA DE APOIO</w:t>
            </w:r>
          </w:p>
        </w:tc>
      </w:tr>
    </w:tbl>
    <w:p w:rsidR="00A87430" w:rsidRDefault="00A87430" w:rsidP="00205423">
      <w:pPr>
        <w:spacing w:line="360" w:lineRule="auto"/>
        <w:ind w:left="720"/>
        <w:contextualSpacing/>
        <w:jc w:val="both"/>
      </w:pPr>
    </w:p>
    <w:p w:rsidR="00FA1CA8"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A taxa de incentivo a atribuir é de 50% sobre as despesas elegíveis, sob a forma de subvenção não reembolsável.</w:t>
      </w:r>
    </w:p>
    <w:p w:rsidR="00FA1CA8" w:rsidRDefault="00FA1CA8" w:rsidP="00205423">
      <w:pPr>
        <w:spacing w:line="360" w:lineRule="auto"/>
        <w:ind w:left="720"/>
        <w:contextualSpacing/>
        <w:jc w:val="both"/>
        <w:rPr>
          <w:rFonts w:ascii="Arial" w:eastAsia="Calibri" w:hAnsi="Arial" w:cs="Arial"/>
        </w:rPr>
      </w:pP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FA1CA8" w:rsidRPr="00FA1CA8" w:rsidTr="00A87430">
        <w:tc>
          <w:tcPr>
            <w:tcW w:w="8000" w:type="dxa"/>
            <w:shd w:val="clear" w:color="auto" w:fill="AEAAAA" w:themeFill="background2" w:themeFillShade="BF"/>
          </w:tcPr>
          <w:p w:rsidR="00FA1CA8" w:rsidRPr="00FA1CA8" w:rsidRDefault="00FA1CA8" w:rsidP="00263107">
            <w:pPr>
              <w:spacing w:line="360" w:lineRule="auto"/>
              <w:contextualSpacing/>
              <w:jc w:val="both"/>
              <w:rPr>
                <w:rFonts w:ascii="Arial" w:eastAsia="Calibri" w:hAnsi="Arial" w:cs="Arial"/>
                <w:b/>
              </w:rPr>
            </w:pPr>
            <w:r w:rsidRPr="00FA1CA8">
              <w:rPr>
                <w:rFonts w:ascii="Arial" w:eastAsia="Calibri" w:hAnsi="Arial" w:cs="Arial"/>
                <w:b/>
              </w:rPr>
              <w:t>DESPESAS ELEGÍVEIS</w:t>
            </w:r>
          </w:p>
        </w:tc>
      </w:tr>
    </w:tbl>
    <w:p w:rsidR="00A87430" w:rsidRDefault="00A87430" w:rsidP="00A87430">
      <w:pPr>
        <w:pStyle w:val="PargrafodaLista"/>
        <w:spacing w:line="360" w:lineRule="auto"/>
        <w:ind w:left="1440"/>
        <w:jc w:val="both"/>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Custos com a reorganização e adaptação de locais de trabalho e/ou alterações de layout, que permitam implementar as orientações e boas práticas das autoridades competentes no contexto da doença COVID-19, designadamente medidas de higiene, segurança e distanciamento físico;</w:t>
      </w: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Pr="00A87430" w:rsidRDefault="00A87430" w:rsidP="00A87430">
      <w:pPr>
        <w:pStyle w:val="PargrafodaLista"/>
        <w:spacing w:line="360" w:lineRule="auto"/>
        <w:ind w:left="2847"/>
        <w:jc w:val="both"/>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Aquisição e instalação de equipamentos de higienização e de dispensa automática de desinfetantes;</w:t>
      </w:r>
    </w:p>
    <w:p w:rsidR="00A87430" w:rsidRDefault="00A87430" w:rsidP="00A87430">
      <w:pPr>
        <w:pStyle w:val="PargrafodaLista"/>
        <w:spacing w:line="360" w:lineRule="auto"/>
        <w:ind w:left="1440"/>
        <w:jc w:val="both"/>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Aquisição e instalação de dispositivos de pagamento automático, incluindo os que utilizem tecnologia </w:t>
      </w:r>
      <w:proofErr w:type="spellStart"/>
      <w:r w:rsidRPr="00A87430">
        <w:rPr>
          <w:rFonts w:ascii="Arial" w:eastAsia="Calibri" w:hAnsi="Arial" w:cs="Arial"/>
        </w:rPr>
        <w:t>contactless</w:t>
      </w:r>
      <w:proofErr w:type="spellEnd"/>
      <w:r w:rsidRPr="00A87430">
        <w:rPr>
          <w:rFonts w:ascii="Arial" w:eastAsia="Calibri" w:hAnsi="Arial" w:cs="Arial"/>
        </w:rPr>
        <w:t>;</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Aquisição e instalação de outros dispositivos de controlo e distanciamento físico;</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Custos com a aquisição e colocação de informação e orientação aos colaboradores e ao público, incluindo sinalização vertical e horizontal, no interior e exterior dos espaços;</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Contratação de serviços de desinfeção dos espaços, por um período máximo de 6 meses;</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Aquisição de serviços de consultoria especializada para o redesenho do layout das instalações e para a elaboração de planos de contingência empresarial e manuais de boas práticas;</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Aquisição de serviços de consultoria especializada para a adaptação do modelo de negócio aos novos desafios do contexto subsequente à pandemia da doença COVID-19;</w:t>
      </w:r>
    </w:p>
    <w:p w:rsidR="00A87430" w:rsidRPr="00A87430" w:rsidRDefault="00A87430" w:rsidP="00A87430">
      <w:pPr>
        <w:pStyle w:val="PargrafodaLista"/>
        <w:rPr>
          <w:rFonts w:ascii="Arial" w:eastAsia="Calibri" w:hAnsi="Arial" w:cs="Arial"/>
        </w:rPr>
      </w:pPr>
    </w:p>
    <w:p w:rsidR="00A87430"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 xml:space="preserve"> Custos iniciais associados à domiciliação de aplicações, adesão inicial a plataformas eletrónicas, subscrição inicial de aplicações em regimes de «software as a </w:t>
      </w:r>
      <w:proofErr w:type="spellStart"/>
      <w:r w:rsidRPr="00A87430">
        <w:rPr>
          <w:rFonts w:ascii="Arial" w:eastAsia="Calibri" w:hAnsi="Arial" w:cs="Arial"/>
        </w:rPr>
        <w:t>service</w:t>
      </w:r>
      <w:proofErr w:type="spellEnd"/>
      <w:r w:rsidRPr="00A87430">
        <w:rPr>
          <w:rFonts w:ascii="Arial" w:eastAsia="Calibri" w:hAnsi="Arial" w:cs="Arial"/>
        </w:rPr>
        <w:t>», criação e publicação inicial de novos conteúdos eletrónicos, bem como a inclusão ou catalogação em diretórios ou motores de busca;</w:t>
      </w:r>
    </w:p>
    <w:p w:rsidR="00A87430" w:rsidRPr="00A87430" w:rsidRDefault="00A87430" w:rsidP="00A87430">
      <w:pPr>
        <w:pStyle w:val="PargrafodaLista"/>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Default="00A87430" w:rsidP="00A87430">
      <w:pPr>
        <w:spacing w:line="360" w:lineRule="auto"/>
        <w:jc w:val="both"/>
        <w:rPr>
          <w:rFonts w:ascii="Arial" w:eastAsia="Calibri" w:hAnsi="Arial" w:cs="Arial"/>
        </w:rPr>
      </w:pPr>
    </w:p>
    <w:p w:rsidR="00A87430" w:rsidRPr="00A87430" w:rsidRDefault="00A87430" w:rsidP="00A87430">
      <w:pPr>
        <w:spacing w:line="360" w:lineRule="auto"/>
        <w:jc w:val="both"/>
        <w:rPr>
          <w:rFonts w:ascii="Arial" w:eastAsia="Calibri" w:hAnsi="Arial" w:cs="Arial"/>
        </w:rPr>
      </w:pPr>
    </w:p>
    <w:p w:rsidR="00205423" w:rsidRDefault="00A87430" w:rsidP="00A87430">
      <w:pPr>
        <w:pStyle w:val="PargrafodaLista"/>
        <w:numPr>
          <w:ilvl w:val="0"/>
          <w:numId w:val="6"/>
        </w:numPr>
        <w:spacing w:line="360" w:lineRule="auto"/>
        <w:jc w:val="both"/>
        <w:rPr>
          <w:rFonts w:ascii="Arial" w:eastAsia="Calibri" w:hAnsi="Arial" w:cs="Arial"/>
        </w:rPr>
      </w:pPr>
      <w:r w:rsidRPr="00A87430">
        <w:rPr>
          <w:rFonts w:ascii="Arial" w:eastAsia="Calibri" w:hAnsi="Arial" w:cs="Arial"/>
        </w:rPr>
        <w:t>Despesas com a intervenção de contabilistas certificados ou revisores oficiais de contas, na validação da despesa dos pedidos de pagamento.</w:t>
      </w:r>
    </w:p>
    <w:p w:rsidR="00A87430" w:rsidRDefault="00A87430" w:rsidP="00A87430">
      <w:pPr>
        <w:pStyle w:val="PargrafodaLista"/>
        <w:spacing w:line="360" w:lineRule="auto"/>
        <w:ind w:left="1428"/>
        <w:jc w:val="both"/>
        <w:rPr>
          <w:rFonts w:ascii="Arial" w:eastAsia="Calibri" w:hAnsi="Arial" w:cs="Arial"/>
        </w:rPr>
      </w:pPr>
    </w:p>
    <w:p w:rsidR="00A87430" w:rsidRPr="00A87430" w:rsidRDefault="00A87430" w:rsidP="00A87430">
      <w:pPr>
        <w:pStyle w:val="PargrafodaLista"/>
        <w:numPr>
          <w:ilvl w:val="0"/>
          <w:numId w:val="18"/>
        </w:numPr>
        <w:spacing w:line="360" w:lineRule="auto"/>
        <w:ind w:left="1428"/>
        <w:jc w:val="both"/>
        <w:rPr>
          <w:rFonts w:ascii="Arial" w:eastAsia="Calibri" w:hAnsi="Arial" w:cs="Arial"/>
        </w:rPr>
      </w:pPr>
      <w:r w:rsidRPr="00A87430">
        <w:rPr>
          <w:rFonts w:ascii="Arial" w:eastAsia="Calibri" w:hAnsi="Arial" w:cs="Arial"/>
        </w:rPr>
        <w:t>Não são elegíveis as despesas com:</w:t>
      </w:r>
    </w:p>
    <w:p w:rsidR="00A87430" w:rsidRPr="00A87430" w:rsidRDefault="00A87430" w:rsidP="00A87430">
      <w:pPr>
        <w:pStyle w:val="PargrafodaLista"/>
        <w:numPr>
          <w:ilvl w:val="0"/>
          <w:numId w:val="19"/>
        </w:numPr>
        <w:spacing w:line="360" w:lineRule="auto"/>
        <w:ind w:left="2148"/>
        <w:jc w:val="both"/>
        <w:rPr>
          <w:rFonts w:ascii="Arial" w:eastAsia="Calibri" w:hAnsi="Arial" w:cs="Arial"/>
        </w:rPr>
      </w:pPr>
      <w:r w:rsidRPr="00A87430">
        <w:rPr>
          <w:rFonts w:ascii="Arial" w:eastAsia="Calibri" w:hAnsi="Arial" w:cs="Arial"/>
        </w:rPr>
        <w:t>o Trabalhos da empresa para si própria;</w:t>
      </w:r>
    </w:p>
    <w:p w:rsidR="00A87430" w:rsidRPr="00A87430" w:rsidRDefault="00A87430" w:rsidP="00A87430">
      <w:pPr>
        <w:pStyle w:val="PargrafodaLista"/>
        <w:numPr>
          <w:ilvl w:val="0"/>
          <w:numId w:val="19"/>
        </w:numPr>
        <w:spacing w:line="360" w:lineRule="auto"/>
        <w:ind w:left="2148"/>
        <w:jc w:val="both"/>
        <w:rPr>
          <w:rFonts w:ascii="Arial" w:eastAsia="Calibri" w:hAnsi="Arial" w:cs="Arial"/>
        </w:rPr>
      </w:pPr>
      <w:r w:rsidRPr="00A87430">
        <w:rPr>
          <w:rFonts w:ascii="Arial" w:eastAsia="Calibri" w:hAnsi="Arial" w:cs="Arial"/>
        </w:rPr>
        <w:t>o Aquisição de bens em estado de uso;</w:t>
      </w:r>
    </w:p>
    <w:p w:rsidR="00A87430" w:rsidRPr="00A87430" w:rsidRDefault="00A87430" w:rsidP="00A87430">
      <w:pPr>
        <w:pStyle w:val="PargrafodaLista"/>
        <w:numPr>
          <w:ilvl w:val="0"/>
          <w:numId w:val="19"/>
        </w:numPr>
        <w:spacing w:line="360" w:lineRule="auto"/>
        <w:ind w:left="2148"/>
        <w:jc w:val="both"/>
        <w:rPr>
          <w:rFonts w:ascii="Arial" w:eastAsia="Calibri" w:hAnsi="Arial" w:cs="Arial"/>
        </w:rPr>
      </w:pPr>
      <w:r w:rsidRPr="00A87430">
        <w:rPr>
          <w:rFonts w:ascii="Arial" w:eastAsia="Calibri" w:hAnsi="Arial" w:cs="Arial"/>
        </w:rPr>
        <w:t>o Imposto sobre o valor acrescentado (IVA) recuperável, ainda que não tenha sido ou não venha a ser efetivamente recuperado pelo beneficiário.</w:t>
      </w: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FA1CA8" w:rsidRPr="00FA1CA8" w:rsidTr="00FA1CA8">
        <w:tc>
          <w:tcPr>
            <w:tcW w:w="8000" w:type="dxa"/>
            <w:shd w:val="clear" w:color="auto" w:fill="AEAAAA" w:themeFill="background2" w:themeFillShade="BF"/>
          </w:tcPr>
          <w:p w:rsidR="00FA1CA8" w:rsidRPr="00FA1CA8" w:rsidRDefault="00FA1CA8" w:rsidP="00D74FF0">
            <w:pPr>
              <w:spacing w:line="360" w:lineRule="auto"/>
              <w:contextualSpacing/>
              <w:jc w:val="both"/>
              <w:rPr>
                <w:rFonts w:ascii="Arial" w:eastAsia="Calibri" w:hAnsi="Arial" w:cs="Arial"/>
                <w:b/>
              </w:rPr>
            </w:pPr>
            <w:r w:rsidRPr="00FA1CA8">
              <w:rPr>
                <w:rFonts w:ascii="Arial" w:eastAsia="Calibri" w:hAnsi="Arial" w:cs="Arial"/>
                <w:b/>
              </w:rPr>
              <w:t>CONDIÇÕES DE PAGAMENTO</w:t>
            </w:r>
          </w:p>
        </w:tc>
      </w:tr>
    </w:tbl>
    <w:p w:rsidR="00205423" w:rsidRPr="00205423" w:rsidRDefault="00205423" w:rsidP="00205423">
      <w:pPr>
        <w:spacing w:line="360" w:lineRule="auto"/>
        <w:ind w:left="720"/>
        <w:contextualSpacing/>
        <w:jc w:val="both"/>
        <w:rPr>
          <w:rFonts w:ascii="Arial" w:eastAsia="Calibri" w:hAnsi="Arial" w:cs="Arial"/>
        </w:rPr>
      </w:pPr>
      <w:r w:rsidRPr="00205423">
        <w:rPr>
          <w:rFonts w:ascii="Arial" w:eastAsia="Calibri" w:hAnsi="Arial" w:cs="Arial"/>
        </w:rPr>
        <w:t>Os pedidos de pagamento são apresentados pelos beneficiários no Balcão 2020, de acordo com os seguintes procedimentos:</w:t>
      </w:r>
    </w:p>
    <w:p w:rsidR="00205423" w:rsidRPr="00FA1CA8" w:rsidRDefault="00205423" w:rsidP="00FA1CA8">
      <w:pPr>
        <w:pStyle w:val="PargrafodaLista"/>
        <w:numPr>
          <w:ilvl w:val="0"/>
          <w:numId w:val="8"/>
        </w:numPr>
        <w:spacing w:line="360" w:lineRule="auto"/>
        <w:jc w:val="both"/>
        <w:rPr>
          <w:rFonts w:ascii="Arial" w:eastAsia="Calibri" w:hAnsi="Arial" w:cs="Arial"/>
        </w:rPr>
      </w:pPr>
      <w:r w:rsidRPr="00FA1CA8">
        <w:rPr>
          <w:rFonts w:ascii="Arial" w:eastAsia="Calibri" w:hAnsi="Arial" w:cs="Arial"/>
        </w:rPr>
        <w:t>É processado um adiantamento automático inicial após a validação do termo de aceitação, no montante equivalente a 50% do incentivo aprovado;</w:t>
      </w:r>
    </w:p>
    <w:p w:rsidR="00FA1CA8" w:rsidRDefault="00205423" w:rsidP="00EE0797">
      <w:pPr>
        <w:pStyle w:val="PargrafodaLista"/>
        <w:numPr>
          <w:ilvl w:val="0"/>
          <w:numId w:val="8"/>
        </w:numPr>
        <w:spacing w:line="360" w:lineRule="auto"/>
        <w:jc w:val="both"/>
        <w:rPr>
          <w:rFonts w:ascii="Arial" w:eastAsia="Calibri" w:hAnsi="Arial" w:cs="Arial"/>
        </w:rPr>
      </w:pPr>
      <w:r w:rsidRPr="00FA1CA8">
        <w:rPr>
          <w:rFonts w:ascii="Arial" w:eastAsia="Calibri" w:hAnsi="Arial" w:cs="Arial"/>
        </w:rPr>
        <w:t>O pedido de pagamento final deve ser apresentado pelo beneficiário, no prazo máximo de 30 dias úte</w:t>
      </w:r>
      <w:r w:rsidR="00EE0797">
        <w:rPr>
          <w:rFonts w:ascii="Arial" w:eastAsia="Calibri" w:hAnsi="Arial" w:cs="Arial"/>
        </w:rPr>
        <w:t>is após a conclusão do projeto.</w:t>
      </w:r>
    </w:p>
    <w:p w:rsidR="00FA1CA8" w:rsidRDefault="00FA1CA8" w:rsidP="00205423">
      <w:pPr>
        <w:spacing w:line="360" w:lineRule="auto"/>
        <w:ind w:left="720"/>
        <w:contextualSpacing/>
        <w:jc w:val="both"/>
        <w:rPr>
          <w:rFonts w:ascii="Arial" w:eastAsia="Calibri" w:hAnsi="Arial" w:cs="Arial"/>
        </w:rPr>
      </w:pP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8000"/>
      </w:tblGrid>
      <w:tr w:rsidR="00FA1CA8" w:rsidRPr="00FA1CA8" w:rsidTr="00EB046F">
        <w:tc>
          <w:tcPr>
            <w:tcW w:w="8000" w:type="dxa"/>
            <w:shd w:val="clear" w:color="auto" w:fill="AEAAAA" w:themeFill="background2" w:themeFillShade="BF"/>
          </w:tcPr>
          <w:p w:rsidR="00FA1CA8" w:rsidRPr="00FA1CA8" w:rsidRDefault="00FA1CA8" w:rsidP="00BE780B">
            <w:pPr>
              <w:spacing w:line="360" w:lineRule="auto"/>
              <w:contextualSpacing/>
              <w:jc w:val="both"/>
              <w:rPr>
                <w:rFonts w:ascii="Arial" w:eastAsia="Calibri" w:hAnsi="Arial" w:cs="Arial"/>
                <w:b/>
              </w:rPr>
            </w:pPr>
            <w:r w:rsidRPr="00FA1CA8">
              <w:rPr>
                <w:rFonts w:ascii="Arial" w:eastAsia="Calibri" w:hAnsi="Arial" w:cs="Arial"/>
                <w:b/>
              </w:rPr>
              <w:t>PRAZO DE CANDIDATURA</w:t>
            </w:r>
          </w:p>
        </w:tc>
      </w:tr>
    </w:tbl>
    <w:p w:rsidR="00FA1CA8" w:rsidRDefault="00FA1CA8" w:rsidP="00205423">
      <w:pPr>
        <w:spacing w:line="360" w:lineRule="auto"/>
        <w:ind w:left="720"/>
        <w:contextualSpacing/>
        <w:jc w:val="both"/>
        <w:rPr>
          <w:rFonts w:ascii="Arial" w:eastAsia="Calibri" w:hAnsi="Arial" w:cs="Arial"/>
        </w:rPr>
      </w:pPr>
    </w:p>
    <w:p w:rsidR="00205423" w:rsidRDefault="00205423" w:rsidP="00205423">
      <w:pPr>
        <w:spacing w:line="360" w:lineRule="auto"/>
        <w:ind w:left="720"/>
        <w:contextualSpacing/>
        <w:jc w:val="both"/>
        <w:rPr>
          <w:rFonts w:ascii="Arial" w:eastAsia="Calibri" w:hAnsi="Arial" w:cs="Arial"/>
        </w:rPr>
      </w:pPr>
      <w:r w:rsidRPr="00205423">
        <w:rPr>
          <w:rFonts w:ascii="Arial" w:eastAsia="Calibri" w:hAnsi="Arial" w:cs="Arial"/>
        </w:rPr>
        <w:t xml:space="preserve">Entre </w:t>
      </w:r>
      <w:r w:rsidRPr="00FA1CA8">
        <w:rPr>
          <w:rFonts w:ascii="Arial" w:eastAsia="Calibri" w:hAnsi="Arial" w:cs="Arial"/>
          <w:b/>
        </w:rPr>
        <w:t>15 de maio de 2020 e 31 de dezembro de 2020</w:t>
      </w:r>
      <w:r w:rsidRPr="00205423">
        <w:rPr>
          <w:rFonts w:ascii="Arial" w:eastAsia="Calibri" w:hAnsi="Arial" w:cs="Arial"/>
        </w:rPr>
        <w:t>.</w:t>
      </w:r>
    </w:p>
    <w:p w:rsidR="00FA1CA8" w:rsidRPr="00205423" w:rsidRDefault="00FA1CA8" w:rsidP="00205423">
      <w:pPr>
        <w:spacing w:line="360" w:lineRule="auto"/>
        <w:ind w:left="720"/>
        <w:contextualSpacing/>
        <w:jc w:val="both"/>
        <w:rPr>
          <w:rFonts w:ascii="Arial" w:eastAsia="Calibri" w:hAnsi="Arial" w:cs="Arial"/>
        </w:rPr>
      </w:pPr>
    </w:p>
    <w:p w:rsidR="00205423" w:rsidRPr="00FA1CA8" w:rsidRDefault="00205423" w:rsidP="00FA1CA8">
      <w:pPr>
        <w:shd w:val="clear" w:color="auto" w:fill="AEAAAA" w:themeFill="background2" w:themeFillShade="BF"/>
        <w:spacing w:line="360" w:lineRule="auto"/>
        <w:ind w:left="720"/>
        <w:contextualSpacing/>
        <w:jc w:val="both"/>
        <w:rPr>
          <w:rFonts w:ascii="Arial" w:eastAsia="Calibri" w:hAnsi="Arial" w:cs="Arial"/>
          <w:b/>
        </w:rPr>
      </w:pPr>
      <w:r w:rsidRPr="00FA1CA8">
        <w:rPr>
          <w:rFonts w:ascii="Arial" w:eastAsia="Calibri" w:hAnsi="Arial" w:cs="Arial"/>
          <w:b/>
        </w:rPr>
        <w:t>APRESENTAÇÃO DE CANDIDATURAS</w:t>
      </w:r>
    </w:p>
    <w:p w:rsidR="00FA1CA8" w:rsidRDefault="00FA1CA8" w:rsidP="00205423">
      <w:pPr>
        <w:spacing w:line="360" w:lineRule="auto"/>
        <w:ind w:left="720"/>
        <w:contextualSpacing/>
        <w:jc w:val="both"/>
        <w:rPr>
          <w:rFonts w:ascii="Arial" w:eastAsia="Calibri" w:hAnsi="Arial" w:cs="Arial"/>
        </w:rPr>
      </w:pPr>
    </w:p>
    <w:p w:rsidR="00205423" w:rsidRDefault="00205423" w:rsidP="00FA1CA8">
      <w:pPr>
        <w:pStyle w:val="PargrafodaLista"/>
        <w:numPr>
          <w:ilvl w:val="0"/>
          <w:numId w:val="13"/>
        </w:numPr>
        <w:spacing w:line="360" w:lineRule="auto"/>
        <w:jc w:val="both"/>
        <w:rPr>
          <w:rFonts w:ascii="Arial" w:eastAsia="Calibri" w:hAnsi="Arial" w:cs="Arial"/>
        </w:rPr>
      </w:pPr>
      <w:r w:rsidRPr="00FA1CA8">
        <w:rPr>
          <w:rFonts w:ascii="Arial" w:eastAsia="Calibri" w:hAnsi="Arial" w:cs="Arial"/>
        </w:rPr>
        <w:t>As candidaturas são submetidas através de formulário eletrónico simplificado disponível no Balcão 2020;</w:t>
      </w:r>
    </w:p>
    <w:p w:rsidR="00FA1CA8" w:rsidRDefault="00FA1CA8" w:rsidP="00FA1CA8">
      <w:pPr>
        <w:pStyle w:val="PargrafodaLista"/>
        <w:spacing w:line="360" w:lineRule="auto"/>
        <w:ind w:left="1440"/>
        <w:jc w:val="both"/>
        <w:rPr>
          <w:rFonts w:ascii="Arial" w:eastAsia="Calibri" w:hAnsi="Arial" w:cs="Arial"/>
        </w:rPr>
      </w:pPr>
    </w:p>
    <w:p w:rsidR="00EB046F" w:rsidRDefault="00205423" w:rsidP="00FA1CA8">
      <w:pPr>
        <w:pStyle w:val="PargrafodaLista"/>
        <w:numPr>
          <w:ilvl w:val="0"/>
          <w:numId w:val="13"/>
        </w:numPr>
        <w:spacing w:line="360" w:lineRule="auto"/>
        <w:jc w:val="both"/>
        <w:rPr>
          <w:rFonts w:ascii="Arial" w:eastAsia="Calibri" w:hAnsi="Arial" w:cs="Arial"/>
        </w:rPr>
      </w:pPr>
      <w:r w:rsidRPr="00FA1CA8">
        <w:rPr>
          <w:rFonts w:ascii="Arial" w:eastAsia="Calibri" w:hAnsi="Arial" w:cs="Arial"/>
        </w:rPr>
        <w:t xml:space="preserve">Para apresentar a candidatura é indispensável que o beneficiário tenha efetuado o registo e autenticação no Balcão 2020. Com essa autenticação, é criada uma área reservada na qual o beneficiário pode contar com um conjunto de funcionalidades que lhe permitem </w:t>
      </w:r>
    </w:p>
    <w:p w:rsidR="00EB046F" w:rsidRPr="00EB046F" w:rsidRDefault="00EB046F" w:rsidP="00EB046F">
      <w:pPr>
        <w:pStyle w:val="PargrafodaLista"/>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Pr="00EB046F" w:rsidRDefault="00EB046F" w:rsidP="00EB046F">
      <w:pPr>
        <w:pStyle w:val="PargrafodaLista"/>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205423" w:rsidRDefault="00205423" w:rsidP="00FA1CA8">
      <w:pPr>
        <w:pStyle w:val="PargrafodaLista"/>
        <w:numPr>
          <w:ilvl w:val="0"/>
          <w:numId w:val="13"/>
        </w:numPr>
        <w:spacing w:line="360" w:lineRule="auto"/>
        <w:jc w:val="both"/>
        <w:rPr>
          <w:rFonts w:ascii="Arial" w:eastAsia="Calibri" w:hAnsi="Arial" w:cs="Arial"/>
        </w:rPr>
      </w:pPr>
      <w:r w:rsidRPr="00FA1CA8">
        <w:rPr>
          <w:rFonts w:ascii="Arial" w:eastAsia="Calibri" w:hAnsi="Arial" w:cs="Arial"/>
        </w:rPr>
        <w:t>comunicar com o sistema, nomeadamente informação sobre a situação da candidatura, adiantamento inicial e submissão do pedido de pagamento final;</w:t>
      </w:r>
    </w:p>
    <w:p w:rsidR="00FA1CA8" w:rsidRPr="00FA1CA8" w:rsidRDefault="00FA1CA8" w:rsidP="00FA1CA8">
      <w:pPr>
        <w:pStyle w:val="PargrafodaLista"/>
        <w:rPr>
          <w:rFonts w:ascii="Arial" w:eastAsia="Calibri" w:hAnsi="Arial" w:cs="Arial"/>
        </w:rPr>
      </w:pPr>
    </w:p>
    <w:p w:rsidR="00205423" w:rsidRPr="00FA1CA8" w:rsidRDefault="00205423" w:rsidP="00FA1CA8">
      <w:pPr>
        <w:pStyle w:val="PargrafodaLista"/>
        <w:numPr>
          <w:ilvl w:val="0"/>
          <w:numId w:val="13"/>
        </w:numPr>
        <w:spacing w:line="360" w:lineRule="auto"/>
        <w:jc w:val="both"/>
        <w:rPr>
          <w:rFonts w:ascii="Arial" w:eastAsia="Calibri" w:hAnsi="Arial" w:cs="Arial"/>
        </w:rPr>
      </w:pPr>
      <w:r w:rsidRPr="00FA1CA8">
        <w:rPr>
          <w:rFonts w:ascii="Arial" w:eastAsia="Calibri" w:hAnsi="Arial" w:cs="Arial"/>
        </w:rPr>
        <w:t>Cada empresa apenas pode apresentar uma candidatura.</w:t>
      </w:r>
    </w:p>
    <w:p w:rsidR="00205423" w:rsidRPr="00FA1CA8" w:rsidRDefault="00205423" w:rsidP="00FA1CA8">
      <w:pPr>
        <w:shd w:val="clear" w:color="auto" w:fill="AEAAAA" w:themeFill="background2" w:themeFillShade="BF"/>
        <w:spacing w:line="360" w:lineRule="auto"/>
        <w:ind w:left="720"/>
        <w:contextualSpacing/>
        <w:jc w:val="both"/>
        <w:rPr>
          <w:rFonts w:ascii="Arial" w:eastAsia="Calibri" w:hAnsi="Arial" w:cs="Arial"/>
          <w:b/>
        </w:rPr>
      </w:pPr>
      <w:r w:rsidRPr="00FA1CA8">
        <w:rPr>
          <w:rFonts w:ascii="Arial" w:eastAsia="Calibri" w:hAnsi="Arial" w:cs="Arial"/>
          <w:b/>
        </w:rPr>
        <w:t>PROCEDIMENTOS E PRAZOS DE ANÁLISE E DECISÃO</w:t>
      </w:r>
    </w:p>
    <w:p w:rsidR="00EE0797" w:rsidRPr="00EE0797" w:rsidRDefault="00EE0797" w:rsidP="00EE0797">
      <w:pPr>
        <w:pStyle w:val="PargrafodaLista"/>
        <w:numPr>
          <w:ilvl w:val="0"/>
          <w:numId w:val="20"/>
        </w:numPr>
        <w:spacing w:line="360" w:lineRule="auto"/>
        <w:jc w:val="both"/>
        <w:rPr>
          <w:rFonts w:ascii="Arial" w:eastAsia="Calibri" w:hAnsi="Arial" w:cs="Arial"/>
        </w:rPr>
      </w:pPr>
      <w:r w:rsidRPr="00EE0797">
        <w:rPr>
          <w:rFonts w:ascii="Arial" w:eastAsia="Calibri" w:hAnsi="Arial" w:cs="Arial"/>
        </w:rPr>
        <w:t xml:space="preserve">Consideram-se passíveis de seleção as candidaturas que obtenham uma pontuação final de Mérito do Projeto (MP) igual ou superior a 4,40, determinada através da utilização dos seguintes critérios: </w:t>
      </w:r>
    </w:p>
    <w:p w:rsidR="00EE0797" w:rsidRPr="00EE0797" w:rsidRDefault="00EE0797" w:rsidP="00EE0797">
      <w:pPr>
        <w:pStyle w:val="PargrafodaLista"/>
        <w:numPr>
          <w:ilvl w:val="2"/>
          <w:numId w:val="21"/>
        </w:numPr>
        <w:spacing w:line="360" w:lineRule="auto"/>
        <w:jc w:val="both"/>
        <w:rPr>
          <w:rFonts w:ascii="Arial" w:eastAsia="Calibri" w:hAnsi="Arial" w:cs="Arial"/>
        </w:rPr>
      </w:pPr>
      <w:r w:rsidRPr="00EE0797">
        <w:rPr>
          <w:rFonts w:ascii="Arial" w:eastAsia="Calibri" w:hAnsi="Arial" w:cs="Arial"/>
        </w:rPr>
        <w:t xml:space="preserve"> Qualidade do projeto; </w:t>
      </w:r>
    </w:p>
    <w:p w:rsidR="00EE0797" w:rsidRPr="00EE0797" w:rsidRDefault="00EE0797" w:rsidP="00EE0797">
      <w:pPr>
        <w:pStyle w:val="PargrafodaLista"/>
        <w:numPr>
          <w:ilvl w:val="2"/>
          <w:numId w:val="21"/>
        </w:numPr>
        <w:spacing w:line="360" w:lineRule="auto"/>
        <w:jc w:val="both"/>
        <w:rPr>
          <w:rFonts w:ascii="Arial" w:eastAsia="Calibri" w:hAnsi="Arial" w:cs="Arial"/>
        </w:rPr>
      </w:pPr>
      <w:r w:rsidRPr="00EE0797">
        <w:rPr>
          <w:rFonts w:ascii="Arial" w:eastAsia="Calibri" w:hAnsi="Arial" w:cs="Arial"/>
        </w:rPr>
        <w:t xml:space="preserve"> Impacto do projeto na competitividade da empresa; </w:t>
      </w:r>
    </w:p>
    <w:p w:rsidR="00EE0797" w:rsidRPr="00EE0797" w:rsidRDefault="00EE0797" w:rsidP="00EE0797">
      <w:pPr>
        <w:pStyle w:val="PargrafodaLista"/>
        <w:numPr>
          <w:ilvl w:val="2"/>
          <w:numId w:val="21"/>
        </w:numPr>
        <w:spacing w:line="360" w:lineRule="auto"/>
        <w:jc w:val="both"/>
        <w:rPr>
          <w:rFonts w:ascii="Arial" w:eastAsia="Calibri" w:hAnsi="Arial" w:cs="Arial"/>
        </w:rPr>
      </w:pPr>
      <w:r w:rsidRPr="00EE0797">
        <w:rPr>
          <w:rFonts w:ascii="Arial" w:eastAsia="Calibri" w:hAnsi="Arial" w:cs="Arial"/>
        </w:rPr>
        <w:t xml:space="preserve"> Contributo do projeto para a economia; </w:t>
      </w:r>
    </w:p>
    <w:p w:rsidR="00EE0797" w:rsidRPr="00EE0797" w:rsidRDefault="00EE0797" w:rsidP="00EE0797">
      <w:pPr>
        <w:pStyle w:val="PargrafodaLista"/>
        <w:numPr>
          <w:ilvl w:val="2"/>
          <w:numId w:val="21"/>
        </w:numPr>
        <w:spacing w:line="360" w:lineRule="auto"/>
        <w:jc w:val="both"/>
        <w:rPr>
          <w:rFonts w:ascii="Arial" w:eastAsia="Calibri" w:hAnsi="Arial" w:cs="Arial"/>
        </w:rPr>
      </w:pPr>
      <w:r w:rsidRPr="00EE0797">
        <w:rPr>
          <w:rFonts w:ascii="Arial" w:eastAsia="Calibri" w:hAnsi="Arial" w:cs="Arial"/>
        </w:rPr>
        <w:t xml:space="preserve"> Contributo do projeto para a convergência regional; </w:t>
      </w:r>
    </w:p>
    <w:p w:rsidR="00EE0797" w:rsidRDefault="00EE0797" w:rsidP="00EE0797">
      <w:pPr>
        <w:pStyle w:val="Default"/>
        <w:rPr>
          <w:sz w:val="22"/>
          <w:szCs w:val="22"/>
        </w:rPr>
      </w:pPr>
    </w:p>
    <w:p w:rsidR="00EE0797" w:rsidRDefault="00EE0797" w:rsidP="00EE0797">
      <w:pPr>
        <w:pStyle w:val="PargrafodaLista"/>
        <w:numPr>
          <w:ilvl w:val="0"/>
          <w:numId w:val="20"/>
        </w:numPr>
        <w:spacing w:line="360" w:lineRule="auto"/>
        <w:jc w:val="both"/>
        <w:rPr>
          <w:rFonts w:ascii="Arial" w:eastAsia="Calibri" w:hAnsi="Arial" w:cs="Arial"/>
          <w:b/>
        </w:rPr>
      </w:pPr>
      <w:r w:rsidRPr="00EE0797">
        <w:rPr>
          <w:rFonts w:ascii="Arial" w:eastAsia="Calibri" w:hAnsi="Arial" w:cs="Arial"/>
        </w:rPr>
        <w:t xml:space="preserve">O Turismo de Portugal, I. P., no caso de projetos de empresas do setor do turismo, e o IAPMEI, I. P., nos restantes casos, procedem à avaliação técnica das candidaturas e emitem parecer, sendo a decisão proferida pelas Autoridades de Gestão envolvidas no financiamento dos projetos </w:t>
      </w:r>
      <w:r w:rsidRPr="00EE0797">
        <w:rPr>
          <w:rFonts w:ascii="Arial" w:eastAsia="Calibri" w:hAnsi="Arial" w:cs="Arial"/>
          <w:b/>
        </w:rPr>
        <w:t xml:space="preserve">no prazo de 20 dias úteis; </w:t>
      </w:r>
    </w:p>
    <w:p w:rsidR="00EE0797" w:rsidRPr="00EE0797" w:rsidRDefault="00EE0797" w:rsidP="00EE0797">
      <w:pPr>
        <w:pStyle w:val="PargrafodaLista"/>
        <w:spacing w:line="360" w:lineRule="auto"/>
        <w:ind w:left="1440"/>
        <w:jc w:val="both"/>
        <w:rPr>
          <w:rFonts w:ascii="Arial" w:eastAsia="Calibri" w:hAnsi="Arial" w:cs="Arial"/>
          <w:b/>
        </w:rPr>
      </w:pPr>
    </w:p>
    <w:p w:rsidR="00EE0797" w:rsidRPr="00EE0797" w:rsidRDefault="00EE0797" w:rsidP="00EE0797">
      <w:pPr>
        <w:pStyle w:val="PargrafodaLista"/>
        <w:numPr>
          <w:ilvl w:val="0"/>
          <w:numId w:val="20"/>
        </w:numPr>
        <w:spacing w:line="360" w:lineRule="auto"/>
        <w:jc w:val="both"/>
        <w:rPr>
          <w:rFonts w:ascii="Arial" w:eastAsia="Calibri" w:hAnsi="Arial" w:cs="Arial"/>
        </w:rPr>
      </w:pPr>
      <w:r w:rsidRPr="00EE0797">
        <w:rPr>
          <w:rFonts w:ascii="Arial" w:eastAsia="Calibri" w:hAnsi="Arial" w:cs="Arial"/>
        </w:rPr>
        <w:t xml:space="preserve"> A decisão final é notificada pelas Autoridades de Gestão aos beneficiários no prazo de 3 dias úteis, a contar da data da sua emissão; </w:t>
      </w:r>
    </w:p>
    <w:p w:rsidR="00EE0797" w:rsidRPr="00EE0797" w:rsidRDefault="00EE0797" w:rsidP="00EE0797">
      <w:pPr>
        <w:pStyle w:val="PargrafodaLista"/>
        <w:spacing w:line="360" w:lineRule="auto"/>
        <w:ind w:left="1440"/>
        <w:jc w:val="both"/>
        <w:rPr>
          <w:rFonts w:ascii="Arial" w:eastAsia="Calibri" w:hAnsi="Arial" w:cs="Arial"/>
        </w:rPr>
      </w:pPr>
    </w:p>
    <w:p w:rsidR="00EE0797" w:rsidRDefault="00EE0797" w:rsidP="00EE0797">
      <w:pPr>
        <w:pStyle w:val="PargrafodaLista"/>
        <w:numPr>
          <w:ilvl w:val="0"/>
          <w:numId w:val="20"/>
        </w:numPr>
        <w:spacing w:line="360" w:lineRule="auto"/>
        <w:jc w:val="both"/>
        <w:rPr>
          <w:rFonts w:ascii="Arial" w:eastAsia="Calibri" w:hAnsi="Arial" w:cs="Arial"/>
        </w:rPr>
      </w:pPr>
      <w:r w:rsidRPr="00EE0797">
        <w:rPr>
          <w:rFonts w:ascii="Arial" w:eastAsia="Calibri" w:hAnsi="Arial" w:cs="Arial"/>
        </w:rPr>
        <w:t xml:space="preserve"> Os candidatos são ouvidos no procedimento de audiência prévia, nos termos legais, apenas nos projetos com decisão desfavorável, sendo concedido um prazo máximo de 10 dias úteis para apresentar eventuais alegações em contrário; </w:t>
      </w:r>
    </w:p>
    <w:p w:rsidR="00EE0797" w:rsidRPr="00EE0797" w:rsidRDefault="00EE0797" w:rsidP="00EE0797">
      <w:pPr>
        <w:pStyle w:val="PargrafodaLista"/>
        <w:rPr>
          <w:rFonts w:ascii="Arial" w:eastAsia="Calibri" w:hAnsi="Arial" w:cs="Arial"/>
        </w:rPr>
      </w:pPr>
    </w:p>
    <w:p w:rsidR="00EB046F" w:rsidRPr="00EB046F" w:rsidRDefault="00EE0797" w:rsidP="00EE0797">
      <w:pPr>
        <w:pStyle w:val="PargrafodaLista"/>
        <w:numPr>
          <w:ilvl w:val="0"/>
          <w:numId w:val="20"/>
        </w:numPr>
        <w:spacing w:line="360" w:lineRule="auto"/>
        <w:jc w:val="both"/>
        <w:rPr>
          <w:rFonts w:ascii="Arial" w:eastAsia="Calibri" w:hAnsi="Arial" w:cs="Arial"/>
        </w:rPr>
      </w:pPr>
      <w:r w:rsidRPr="00EE0797">
        <w:rPr>
          <w:rFonts w:ascii="Arial" w:eastAsia="Calibri" w:hAnsi="Arial" w:cs="Arial"/>
        </w:rPr>
        <w:t>A aceitação da decisão da concessão do incentivo é feita mediante a assinatura do termo de aceitação, submetida eletronicamente e autenticada no Balcão 2020, podendo para esse</w:t>
      </w:r>
      <w:r>
        <w:t xml:space="preserve"> efeito ser utilizado o </w:t>
      </w:r>
    </w:p>
    <w:p w:rsidR="00EB046F" w:rsidRPr="00EB046F" w:rsidRDefault="00EB046F" w:rsidP="00EB046F">
      <w:pPr>
        <w:pStyle w:val="PargrafodaLista"/>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Pr="00EB046F" w:rsidRDefault="00EB046F" w:rsidP="00EB046F">
      <w:pPr>
        <w:pStyle w:val="PargrafodaLista"/>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B046F" w:rsidRDefault="00EB046F" w:rsidP="00EB046F">
      <w:pPr>
        <w:pStyle w:val="PargrafodaLista"/>
        <w:spacing w:line="360" w:lineRule="auto"/>
        <w:ind w:left="1440"/>
        <w:jc w:val="both"/>
        <w:rPr>
          <w:rFonts w:ascii="Arial" w:eastAsia="Calibri" w:hAnsi="Arial" w:cs="Arial"/>
        </w:rPr>
      </w:pPr>
    </w:p>
    <w:p w:rsidR="00EE0797" w:rsidRPr="00EE0797" w:rsidRDefault="00EE0797" w:rsidP="00EE0797">
      <w:pPr>
        <w:pStyle w:val="PargrafodaLista"/>
        <w:numPr>
          <w:ilvl w:val="0"/>
          <w:numId w:val="20"/>
        </w:numPr>
        <w:spacing w:line="360" w:lineRule="auto"/>
        <w:jc w:val="both"/>
        <w:rPr>
          <w:rFonts w:ascii="Arial" w:eastAsia="Calibri" w:hAnsi="Arial" w:cs="Arial"/>
        </w:rPr>
      </w:pPr>
      <w:r w:rsidRPr="00EE0797">
        <w:rPr>
          <w:rFonts w:ascii="Arial" w:eastAsia="Calibri" w:hAnsi="Arial" w:cs="Arial"/>
        </w:rPr>
        <w:t xml:space="preserve">Cartão do Cidadão ou Chave Móvel Digital com recurso ao Sistema de Certificação de Atributos Profissionais. </w:t>
      </w:r>
    </w:p>
    <w:p w:rsidR="00FA1CA8" w:rsidRDefault="00FA1CA8" w:rsidP="00205423">
      <w:pPr>
        <w:spacing w:line="360" w:lineRule="auto"/>
        <w:ind w:left="720"/>
        <w:contextualSpacing/>
        <w:jc w:val="both"/>
        <w:rPr>
          <w:rFonts w:ascii="Arial" w:eastAsia="Calibri" w:hAnsi="Arial" w:cs="Arial"/>
        </w:rPr>
      </w:pPr>
    </w:p>
    <w:p w:rsidR="00205423" w:rsidRPr="00EE0797" w:rsidRDefault="00205423" w:rsidP="00EE0797">
      <w:pPr>
        <w:shd w:val="clear" w:color="auto" w:fill="FFFFFF" w:themeFill="background1"/>
        <w:spacing w:line="360" w:lineRule="auto"/>
        <w:ind w:left="720"/>
        <w:contextualSpacing/>
        <w:jc w:val="both"/>
        <w:rPr>
          <w:rFonts w:ascii="Arial" w:eastAsia="Calibri" w:hAnsi="Arial" w:cs="Arial"/>
          <w:b/>
          <w:sz w:val="20"/>
          <w:szCs w:val="20"/>
        </w:rPr>
      </w:pPr>
      <w:r w:rsidRPr="00EE0797">
        <w:rPr>
          <w:rFonts w:ascii="Arial" w:eastAsia="Calibri" w:hAnsi="Arial" w:cs="Arial"/>
          <w:b/>
          <w:sz w:val="20"/>
          <w:szCs w:val="20"/>
        </w:rPr>
        <w:t>AVISO DE CANDIDATURA</w:t>
      </w:r>
    </w:p>
    <w:p w:rsidR="00EE0797" w:rsidRDefault="00EE0797" w:rsidP="00205423">
      <w:pPr>
        <w:spacing w:line="360" w:lineRule="auto"/>
        <w:ind w:left="720"/>
        <w:contextualSpacing/>
        <w:jc w:val="both"/>
        <w:rPr>
          <w:rFonts w:ascii="Arial" w:eastAsia="Calibri" w:hAnsi="Arial" w:cs="Arial"/>
        </w:rPr>
      </w:pPr>
      <w:r w:rsidRPr="00EE0797">
        <w:rPr>
          <w:rFonts w:ascii="Arial" w:eastAsia="Calibri" w:hAnsi="Arial" w:cs="Arial"/>
        </w:rPr>
        <w:t xml:space="preserve">A informação aqui prestada não dispensa a consulta do aviso de candidatura no portal do Portugal 2020: “ADAPTAR PME- Sistema de incentivos à adaptação da atividade das PME”, disponível em </w:t>
      </w:r>
    </w:p>
    <w:p w:rsidR="00FA1CA8" w:rsidRPr="00EE0797" w:rsidRDefault="00EE0797" w:rsidP="00205423">
      <w:pPr>
        <w:spacing w:line="360" w:lineRule="auto"/>
        <w:ind w:left="720"/>
        <w:contextualSpacing/>
        <w:jc w:val="both"/>
        <w:rPr>
          <w:rFonts w:ascii="Arial" w:eastAsia="Calibri" w:hAnsi="Arial" w:cs="Arial"/>
        </w:rPr>
      </w:pPr>
      <w:proofErr w:type="spellStart"/>
      <w:r w:rsidRPr="00EE0797">
        <w:rPr>
          <w:rFonts w:ascii="Arial" w:eastAsia="Calibri" w:hAnsi="Arial" w:cs="Arial"/>
        </w:rPr>
        <w:t>https</w:t>
      </w:r>
      <w:proofErr w:type="spellEnd"/>
      <w:r w:rsidRPr="00EE0797">
        <w:rPr>
          <w:rFonts w:ascii="Arial" w:eastAsia="Calibri" w:hAnsi="Arial" w:cs="Arial"/>
        </w:rPr>
        <w:t>://www.portugal2020.pt/candidaturas</w:t>
      </w:r>
    </w:p>
    <w:p w:rsidR="00270C0C" w:rsidRDefault="00270C0C" w:rsidP="00EE0797">
      <w:pPr>
        <w:shd w:val="clear" w:color="auto" w:fill="FFFFFF" w:themeFill="background1"/>
        <w:spacing w:line="360" w:lineRule="auto"/>
        <w:ind w:left="720"/>
        <w:contextualSpacing/>
        <w:jc w:val="both"/>
        <w:rPr>
          <w:rFonts w:ascii="Arial" w:eastAsia="Calibri" w:hAnsi="Arial" w:cs="Arial"/>
          <w:b/>
          <w:sz w:val="20"/>
          <w:szCs w:val="20"/>
        </w:rPr>
      </w:pPr>
    </w:p>
    <w:p w:rsidR="00205423" w:rsidRPr="00EE0797" w:rsidRDefault="00205423" w:rsidP="00EE0797">
      <w:pPr>
        <w:shd w:val="clear" w:color="auto" w:fill="FFFFFF" w:themeFill="background1"/>
        <w:spacing w:line="360" w:lineRule="auto"/>
        <w:ind w:left="720"/>
        <w:contextualSpacing/>
        <w:jc w:val="both"/>
        <w:rPr>
          <w:rFonts w:ascii="Arial" w:eastAsia="Calibri" w:hAnsi="Arial" w:cs="Arial"/>
          <w:b/>
          <w:sz w:val="20"/>
          <w:szCs w:val="20"/>
        </w:rPr>
      </w:pPr>
      <w:r w:rsidRPr="00EE0797">
        <w:rPr>
          <w:rFonts w:ascii="Arial" w:eastAsia="Calibri" w:hAnsi="Arial" w:cs="Arial"/>
          <w:b/>
          <w:sz w:val="20"/>
          <w:szCs w:val="20"/>
        </w:rPr>
        <w:t>LEGISLAÇÃO APLICÁVEL</w:t>
      </w:r>
    </w:p>
    <w:p w:rsidR="0092398C" w:rsidRPr="00205423" w:rsidRDefault="0092398C" w:rsidP="0092398C">
      <w:pPr>
        <w:spacing w:line="360" w:lineRule="auto"/>
        <w:ind w:left="720"/>
        <w:contextualSpacing/>
        <w:jc w:val="both"/>
        <w:rPr>
          <w:rFonts w:ascii="Arial" w:eastAsia="Calibri" w:hAnsi="Arial" w:cs="Arial"/>
        </w:rPr>
      </w:pPr>
      <w:r>
        <w:rPr>
          <w:rFonts w:ascii="Arial" w:eastAsia="Calibri" w:hAnsi="Arial" w:cs="Arial"/>
        </w:rPr>
        <w:t xml:space="preserve"> </w:t>
      </w:r>
      <w:r w:rsidR="00DA3B98" w:rsidRPr="00DA3B98">
        <w:rPr>
          <w:rFonts w:ascii="Arial" w:eastAsia="Calibri" w:hAnsi="Arial" w:cs="Arial"/>
        </w:rPr>
        <w:t xml:space="preserve">Enviamos em anexo </w:t>
      </w:r>
      <w:r w:rsidR="00EB046F">
        <w:rPr>
          <w:rFonts w:ascii="Arial" w:eastAsia="Calibri" w:hAnsi="Arial" w:cs="Arial"/>
        </w:rPr>
        <w:t>o</w:t>
      </w:r>
      <w:r>
        <w:rPr>
          <w:rFonts w:ascii="Arial" w:eastAsia="Calibri" w:hAnsi="Arial" w:cs="Arial"/>
        </w:rPr>
        <w:t xml:space="preserve"> Aviso e </w:t>
      </w:r>
      <w:r w:rsidRPr="00205423">
        <w:rPr>
          <w:rFonts w:ascii="Arial" w:eastAsia="Calibri" w:hAnsi="Arial" w:cs="Arial"/>
        </w:rPr>
        <w:t>Decreto-Lei nº 20-G/2020, de 14 de maio</w:t>
      </w:r>
      <w:r w:rsidR="00D75FDA">
        <w:rPr>
          <w:rFonts w:ascii="Arial" w:eastAsia="Calibri" w:hAnsi="Arial" w:cs="Arial"/>
        </w:rPr>
        <w:t>.</w:t>
      </w:r>
    </w:p>
    <w:p w:rsidR="00DA3B98" w:rsidRPr="00DA3B98" w:rsidRDefault="00DA3B98" w:rsidP="00BD017D">
      <w:pPr>
        <w:spacing w:line="360" w:lineRule="auto"/>
        <w:contextualSpacing/>
        <w:jc w:val="both"/>
        <w:rPr>
          <w:rFonts w:ascii="Arial" w:eastAsia="Calibri" w:hAnsi="Arial" w:cs="Arial"/>
        </w:rPr>
      </w:pPr>
      <w:r w:rsidRPr="00DA3B98">
        <w:rPr>
          <w:rFonts w:ascii="Arial" w:eastAsia="Calibri" w:hAnsi="Arial" w:cs="Arial"/>
        </w:rPr>
        <w:t xml:space="preserve">. </w:t>
      </w:r>
    </w:p>
    <w:p w:rsidR="005E3CB3" w:rsidRPr="00BD017D" w:rsidRDefault="005E3CB3" w:rsidP="00BD017D">
      <w:pPr>
        <w:spacing w:line="360" w:lineRule="auto"/>
        <w:ind w:left="720"/>
        <w:contextualSpacing/>
        <w:jc w:val="both"/>
        <w:rPr>
          <w:rFonts w:ascii="Arial" w:eastAsia="Calibri" w:hAnsi="Arial" w:cs="Arial"/>
        </w:rPr>
      </w:pPr>
    </w:p>
    <w:p w:rsidR="00BF62F2" w:rsidRPr="00BD017D" w:rsidRDefault="00BF62F2" w:rsidP="00BD017D">
      <w:pPr>
        <w:spacing w:line="360" w:lineRule="auto"/>
        <w:contextualSpacing/>
        <w:jc w:val="center"/>
        <w:rPr>
          <w:rFonts w:ascii="Arial" w:eastAsia="Calibri" w:hAnsi="Arial" w:cs="Arial"/>
        </w:rPr>
      </w:pPr>
      <w:r w:rsidRPr="00BD017D">
        <w:rPr>
          <w:rFonts w:ascii="Arial" w:eastAsia="Calibri" w:hAnsi="Arial" w:cs="Arial"/>
        </w:rPr>
        <w:t xml:space="preserve">Condeixa-a-Nova, </w:t>
      </w:r>
      <w:r w:rsidR="00EB046F">
        <w:rPr>
          <w:rFonts w:ascii="Arial" w:eastAsia="Calibri" w:hAnsi="Arial" w:cs="Arial"/>
        </w:rPr>
        <w:t>15 de m</w:t>
      </w:r>
      <w:bookmarkStart w:id="0" w:name="_GoBack"/>
      <w:bookmarkEnd w:id="0"/>
      <w:r w:rsidR="00D75FDA">
        <w:rPr>
          <w:rFonts w:ascii="Arial" w:eastAsia="Calibri" w:hAnsi="Arial" w:cs="Arial"/>
        </w:rPr>
        <w:t>aio</w:t>
      </w:r>
      <w:r w:rsidR="00EB046F">
        <w:rPr>
          <w:rFonts w:ascii="Arial" w:eastAsia="Calibri" w:hAnsi="Arial" w:cs="Arial"/>
        </w:rPr>
        <w:t xml:space="preserve"> </w:t>
      </w:r>
      <w:r w:rsidRPr="00BD017D">
        <w:rPr>
          <w:rFonts w:ascii="Arial" w:eastAsia="Calibri" w:hAnsi="Arial" w:cs="Arial"/>
        </w:rPr>
        <w:t>de 2020</w:t>
      </w:r>
    </w:p>
    <w:p w:rsidR="00BF62F2" w:rsidRDefault="00BF62F2"/>
    <w:p w:rsidR="00135A4C" w:rsidRDefault="00135A4C" w:rsidP="00135A4C">
      <w:pPr>
        <w:jc w:val="center"/>
      </w:pPr>
      <w:r>
        <w:t>Com os melhores cumprimentos,</w:t>
      </w:r>
    </w:p>
    <w:p w:rsidR="00135A4C" w:rsidRPr="00135A4C" w:rsidRDefault="00135A4C" w:rsidP="00135A4C">
      <w:pPr>
        <w:jc w:val="center"/>
        <w:rPr>
          <w:sz w:val="24"/>
          <w:szCs w:val="24"/>
        </w:rPr>
      </w:pPr>
      <w:r w:rsidRPr="00135A4C">
        <w:rPr>
          <w:sz w:val="24"/>
          <w:szCs w:val="24"/>
        </w:rPr>
        <w:t>ADEC</w:t>
      </w:r>
    </w:p>
    <w:sectPr w:rsidR="00135A4C" w:rsidRPr="00135A4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41" w:rsidRDefault="00DC7A41" w:rsidP="004F1A0A">
      <w:pPr>
        <w:spacing w:after="0" w:line="240" w:lineRule="auto"/>
      </w:pPr>
      <w:r>
        <w:separator/>
      </w:r>
    </w:p>
  </w:endnote>
  <w:endnote w:type="continuationSeparator" w:id="0">
    <w:p w:rsidR="00DC7A41" w:rsidRDefault="00DC7A41" w:rsidP="004F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05" w:rsidRDefault="006A6500">
    <w:pPr>
      <w:pStyle w:val="Rodap"/>
    </w:pPr>
    <w:r>
      <w:rPr>
        <w:noProof/>
        <w:lang w:eastAsia="pt-PT"/>
      </w:rPr>
      <w:drawing>
        <wp:anchor distT="0" distB="0" distL="114300" distR="114300" simplePos="0" relativeHeight="251663360" behindDoc="1" locked="0" layoutInCell="1" allowOverlap="1" wp14:anchorId="6F94E7FD" wp14:editId="3E94D3FD">
          <wp:simplePos x="0" y="0"/>
          <wp:positionH relativeFrom="column">
            <wp:posOffset>3676429</wp:posOffset>
          </wp:positionH>
          <wp:positionV relativeFrom="paragraph">
            <wp:posOffset>-2941486</wp:posOffset>
          </wp:positionV>
          <wp:extent cx="3233420" cy="3233420"/>
          <wp:effectExtent l="0" t="0" r="5080" b="0"/>
          <wp:wrapNone/>
          <wp:docPr id="7" name="Imagem 7" descr="C:\Users\jpcas\AppData\Local\Microsoft\Windows\INetCache\Content.Word\A---ghost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cas\AppData\Local\Microsoft\Windows\INetCache\Content.Word\A---ghost10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420" cy="3233420"/>
                  </a:xfrm>
                  <a:prstGeom prst="rect">
                    <a:avLst/>
                  </a:prstGeom>
                  <a:noFill/>
                  <a:ln>
                    <a:noFill/>
                  </a:ln>
                </pic:spPr>
              </pic:pic>
            </a:graphicData>
          </a:graphic>
        </wp:anchor>
      </w:drawing>
    </w:r>
    <w:r>
      <w:rPr>
        <w:noProof/>
        <w:lang w:eastAsia="pt-PT"/>
      </w:rPr>
      <w:drawing>
        <wp:anchor distT="0" distB="0" distL="114300" distR="114300" simplePos="0" relativeHeight="251662336" behindDoc="1" locked="0" layoutInCell="1" allowOverlap="1" wp14:anchorId="6E956D25" wp14:editId="75891548">
          <wp:simplePos x="0" y="0"/>
          <wp:positionH relativeFrom="column">
            <wp:posOffset>-685165</wp:posOffset>
          </wp:positionH>
          <wp:positionV relativeFrom="paragraph">
            <wp:posOffset>-782320</wp:posOffset>
          </wp:positionV>
          <wp:extent cx="1073150" cy="1073150"/>
          <wp:effectExtent l="0" t="0" r="0" b="0"/>
          <wp:wrapNone/>
          <wp:docPr id="6" name="Imagem 6" descr="C:\Users\jpcas\AppData\Local\Microsoft\Windows\INetCache\Content.Word\addres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pcas\AppData\Local\Microsoft\Windows\INetCache\Content.Word\address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41" w:rsidRDefault="00DC7A41" w:rsidP="004F1A0A">
      <w:pPr>
        <w:spacing w:after="0" w:line="240" w:lineRule="auto"/>
      </w:pPr>
      <w:r>
        <w:separator/>
      </w:r>
    </w:p>
  </w:footnote>
  <w:footnote w:type="continuationSeparator" w:id="0">
    <w:p w:rsidR="00DC7A41" w:rsidRDefault="00DC7A41" w:rsidP="004F1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0A" w:rsidRDefault="006A6500">
    <w:pPr>
      <w:pStyle w:val="Cabealho"/>
    </w:pPr>
    <w:r>
      <w:rPr>
        <w:noProof/>
        <w:lang w:eastAsia="pt-PT"/>
      </w:rPr>
      <w:drawing>
        <wp:anchor distT="0" distB="0" distL="114300" distR="114300" simplePos="0" relativeHeight="251661312" behindDoc="1" locked="0" layoutInCell="1" allowOverlap="1" wp14:anchorId="79461D19" wp14:editId="11D743CB">
          <wp:simplePos x="0" y="0"/>
          <wp:positionH relativeFrom="column">
            <wp:posOffset>-676910</wp:posOffset>
          </wp:positionH>
          <wp:positionV relativeFrom="paragraph">
            <wp:posOffset>414020</wp:posOffset>
          </wp:positionV>
          <wp:extent cx="1073150" cy="1073150"/>
          <wp:effectExtent l="0" t="0" r="0" b="0"/>
          <wp:wrapNone/>
          <wp:docPr id="5" name="Imagem 5" descr="C:\Users\jpcas\AppData\Local\Microsoft\Windows\INetCache\Content.Word\logo_4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pcas\AppData\Local\Microsoft\Windows\INetCache\Content.Word\logo_4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757"/>
    <w:multiLevelType w:val="hybridMultilevel"/>
    <w:tmpl w:val="B6A679A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nsid w:val="0B5C00BB"/>
    <w:multiLevelType w:val="hybridMultilevel"/>
    <w:tmpl w:val="78888A1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nsid w:val="0BD75ED1"/>
    <w:multiLevelType w:val="hybridMultilevel"/>
    <w:tmpl w:val="64C2D60C"/>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nsid w:val="0FA31595"/>
    <w:multiLevelType w:val="hybridMultilevel"/>
    <w:tmpl w:val="D8D6046A"/>
    <w:lvl w:ilvl="0" w:tplc="08160001">
      <w:start w:val="1"/>
      <w:numFmt w:val="bullet"/>
      <w:lvlText w:val=""/>
      <w:lvlJc w:val="left"/>
      <w:pPr>
        <w:ind w:left="2160" w:hanging="360"/>
      </w:pPr>
      <w:rPr>
        <w:rFonts w:ascii="Symbol" w:hAnsi="Symbol"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4">
    <w:nsid w:val="103503F5"/>
    <w:multiLevelType w:val="hybridMultilevel"/>
    <w:tmpl w:val="F4B2E724"/>
    <w:lvl w:ilvl="0" w:tplc="0816000D">
      <w:start w:val="1"/>
      <w:numFmt w:val="bullet"/>
      <w:lvlText w:val=""/>
      <w:lvlJc w:val="left"/>
      <w:pPr>
        <w:ind w:left="1440" w:hanging="360"/>
      </w:pPr>
      <w:rPr>
        <w:rFonts w:ascii="Wingdings" w:hAnsi="Wingdings" w:hint="default"/>
      </w:rPr>
    </w:lvl>
    <w:lvl w:ilvl="1" w:tplc="08160003">
      <w:start w:val="1"/>
      <w:numFmt w:val="bullet"/>
      <w:lvlText w:val="o"/>
      <w:lvlJc w:val="left"/>
      <w:pPr>
        <w:ind w:left="2160" w:hanging="360"/>
      </w:pPr>
      <w:rPr>
        <w:rFonts w:ascii="Courier New" w:hAnsi="Courier New" w:cs="Courier New" w:hint="default"/>
      </w:rPr>
    </w:lvl>
    <w:lvl w:ilvl="2" w:tplc="0816000D">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145A0557"/>
    <w:multiLevelType w:val="hybridMultilevel"/>
    <w:tmpl w:val="1FA8F300"/>
    <w:lvl w:ilvl="0" w:tplc="0816000D">
      <w:start w:val="1"/>
      <w:numFmt w:val="bullet"/>
      <w:lvlText w:val=""/>
      <w:lvlJc w:val="left"/>
      <w:pPr>
        <w:ind w:left="1854" w:hanging="360"/>
      </w:pPr>
      <w:rPr>
        <w:rFonts w:ascii="Wingdings" w:hAnsi="Wingdings"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6">
    <w:nsid w:val="1B291D8D"/>
    <w:multiLevelType w:val="hybridMultilevel"/>
    <w:tmpl w:val="D5EAF6A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7B61A9F"/>
    <w:multiLevelType w:val="hybridMultilevel"/>
    <w:tmpl w:val="DC7C001A"/>
    <w:lvl w:ilvl="0" w:tplc="0816000D">
      <w:start w:val="1"/>
      <w:numFmt w:val="bullet"/>
      <w:lvlText w:val=""/>
      <w:lvlJc w:val="left"/>
      <w:pPr>
        <w:ind w:left="2847" w:hanging="360"/>
      </w:pPr>
      <w:rPr>
        <w:rFonts w:ascii="Wingdings" w:hAnsi="Wingdings" w:hint="default"/>
      </w:rPr>
    </w:lvl>
    <w:lvl w:ilvl="1" w:tplc="08160003" w:tentative="1">
      <w:start w:val="1"/>
      <w:numFmt w:val="bullet"/>
      <w:lvlText w:val="o"/>
      <w:lvlJc w:val="left"/>
      <w:pPr>
        <w:ind w:left="3567" w:hanging="360"/>
      </w:pPr>
      <w:rPr>
        <w:rFonts w:ascii="Courier New" w:hAnsi="Courier New" w:cs="Courier New" w:hint="default"/>
      </w:rPr>
    </w:lvl>
    <w:lvl w:ilvl="2" w:tplc="08160005" w:tentative="1">
      <w:start w:val="1"/>
      <w:numFmt w:val="bullet"/>
      <w:lvlText w:val=""/>
      <w:lvlJc w:val="left"/>
      <w:pPr>
        <w:ind w:left="4287" w:hanging="360"/>
      </w:pPr>
      <w:rPr>
        <w:rFonts w:ascii="Wingdings" w:hAnsi="Wingdings" w:hint="default"/>
      </w:rPr>
    </w:lvl>
    <w:lvl w:ilvl="3" w:tplc="08160001" w:tentative="1">
      <w:start w:val="1"/>
      <w:numFmt w:val="bullet"/>
      <w:lvlText w:val=""/>
      <w:lvlJc w:val="left"/>
      <w:pPr>
        <w:ind w:left="5007" w:hanging="360"/>
      </w:pPr>
      <w:rPr>
        <w:rFonts w:ascii="Symbol" w:hAnsi="Symbol" w:hint="default"/>
      </w:rPr>
    </w:lvl>
    <w:lvl w:ilvl="4" w:tplc="08160003" w:tentative="1">
      <w:start w:val="1"/>
      <w:numFmt w:val="bullet"/>
      <w:lvlText w:val="o"/>
      <w:lvlJc w:val="left"/>
      <w:pPr>
        <w:ind w:left="5727" w:hanging="360"/>
      </w:pPr>
      <w:rPr>
        <w:rFonts w:ascii="Courier New" w:hAnsi="Courier New" w:cs="Courier New" w:hint="default"/>
      </w:rPr>
    </w:lvl>
    <w:lvl w:ilvl="5" w:tplc="08160005" w:tentative="1">
      <w:start w:val="1"/>
      <w:numFmt w:val="bullet"/>
      <w:lvlText w:val=""/>
      <w:lvlJc w:val="left"/>
      <w:pPr>
        <w:ind w:left="6447" w:hanging="360"/>
      </w:pPr>
      <w:rPr>
        <w:rFonts w:ascii="Wingdings" w:hAnsi="Wingdings" w:hint="default"/>
      </w:rPr>
    </w:lvl>
    <w:lvl w:ilvl="6" w:tplc="08160001" w:tentative="1">
      <w:start w:val="1"/>
      <w:numFmt w:val="bullet"/>
      <w:lvlText w:val=""/>
      <w:lvlJc w:val="left"/>
      <w:pPr>
        <w:ind w:left="7167" w:hanging="360"/>
      </w:pPr>
      <w:rPr>
        <w:rFonts w:ascii="Symbol" w:hAnsi="Symbol" w:hint="default"/>
      </w:rPr>
    </w:lvl>
    <w:lvl w:ilvl="7" w:tplc="08160003" w:tentative="1">
      <w:start w:val="1"/>
      <w:numFmt w:val="bullet"/>
      <w:lvlText w:val="o"/>
      <w:lvlJc w:val="left"/>
      <w:pPr>
        <w:ind w:left="7887" w:hanging="360"/>
      </w:pPr>
      <w:rPr>
        <w:rFonts w:ascii="Courier New" w:hAnsi="Courier New" w:cs="Courier New" w:hint="default"/>
      </w:rPr>
    </w:lvl>
    <w:lvl w:ilvl="8" w:tplc="08160005" w:tentative="1">
      <w:start w:val="1"/>
      <w:numFmt w:val="bullet"/>
      <w:lvlText w:val=""/>
      <w:lvlJc w:val="left"/>
      <w:pPr>
        <w:ind w:left="8607" w:hanging="360"/>
      </w:pPr>
      <w:rPr>
        <w:rFonts w:ascii="Wingdings" w:hAnsi="Wingdings" w:hint="default"/>
      </w:rPr>
    </w:lvl>
  </w:abstractNum>
  <w:abstractNum w:abstractNumId="8">
    <w:nsid w:val="30224846"/>
    <w:multiLevelType w:val="hybridMultilevel"/>
    <w:tmpl w:val="DA9ACF02"/>
    <w:lvl w:ilvl="0" w:tplc="1F24EADA">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23610F0"/>
    <w:multiLevelType w:val="hybridMultilevel"/>
    <w:tmpl w:val="B4824BC6"/>
    <w:lvl w:ilvl="0" w:tplc="0816000D">
      <w:start w:val="1"/>
      <w:numFmt w:val="bullet"/>
      <w:lvlText w:val=""/>
      <w:lvlJc w:val="left"/>
      <w:pPr>
        <w:ind w:left="1440" w:hanging="360"/>
      </w:pPr>
      <w:rPr>
        <w:rFonts w:ascii="Wingdings" w:hAnsi="Wingdings" w:hint="default"/>
      </w:rPr>
    </w:lvl>
    <w:lvl w:ilvl="1" w:tplc="08160003">
      <w:start w:val="1"/>
      <w:numFmt w:val="bullet"/>
      <w:lvlText w:val="o"/>
      <w:lvlJc w:val="left"/>
      <w:pPr>
        <w:ind w:left="2160" w:hanging="360"/>
      </w:pPr>
      <w:rPr>
        <w:rFonts w:ascii="Courier New" w:hAnsi="Courier New" w:cs="Courier New" w:hint="default"/>
      </w:rPr>
    </w:lvl>
    <w:lvl w:ilvl="2" w:tplc="08160005">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nsid w:val="34B8331C"/>
    <w:multiLevelType w:val="hybridMultilevel"/>
    <w:tmpl w:val="FCA018BE"/>
    <w:lvl w:ilvl="0" w:tplc="08160001">
      <w:start w:val="1"/>
      <w:numFmt w:val="bullet"/>
      <w:lvlText w:val=""/>
      <w:lvlJc w:val="left"/>
      <w:pPr>
        <w:ind w:left="2160"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nsid w:val="376F607E"/>
    <w:multiLevelType w:val="hybridMultilevel"/>
    <w:tmpl w:val="EF88F4E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EBB452A"/>
    <w:multiLevelType w:val="hybridMultilevel"/>
    <w:tmpl w:val="1A1E7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4A2E0F09"/>
    <w:multiLevelType w:val="hybridMultilevel"/>
    <w:tmpl w:val="A5A40FF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4C550EC2"/>
    <w:multiLevelType w:val="hybridMultilevel"/>
    <w:tmpl w:val="072445A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71A3EFE"/>
    <w:multiLevelType w:val="hybridMultilevel"/>
    <w:tmpl w:val="BB32F6FC"/>
    <w:lvl w:ilvl="0" w:tplc="0816000D">
      <w:start w:val="1"/>
      <w:numFmt w:val="bullet"/>
      <w:lvlText w:val=""/>
      <w:lvlJc w:val="left"/>
      <w:pPr>
        <w:ind w:left="2160" w:hanging="360"/>
      </w:pPr>
      <w:rPr>
        <w:rFonts w:ascii="Wingdings" w:hAnsi="Wingdings"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16">
    <w:nsid w:val="5CBA10CF"/>
    <w:multiLevelType w:val="hybridMultilevel"/>
    <w:tmpl w:val="370A00A6"/>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7">
    <w:nsid w:val="69FD5DB1"/>
    <w:multiLevelType w:val="hybridMultilevel"/>
    <w:tmpl w:val="12965EE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8">
    <w:nsid w:val="6EBD28F6"/>
    <w:multiLevelType w:val="hybridMultilevel"/>
    <w:tmpl w:val="212AA02E"/>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nsid w:val="74721A63"/>
    <w:multiLevelType w:val="hybridMultilevel"/>
    <w:tmpl w:val="E7F894B4"/>
    <w:lvl w:ilvl="0" w:tplc="1F24EADA">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B1400F8"/>
    <w:multiLevelType w:val="hybridMultilevel"/>
    <w:tmpl w:val="D2E052B4"/>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1"/>
  </w:num>
  <w:num w:numId="4">
    <w:abstractNumId w:val="19"/>
  </w:num>
  <w:num w:numId="5">
    <w:abstractNumId w:val="8"/>
  </w:num>
  <w:num w:numId="6">
    <w:abstractNumId w:val="17"/>
  </w:num>
  <w:num w:numId="7">
    <w:abstractNumId w:val="5"/>
  </w:num>
  <w:num w:numId="8">
    <w:abstractNumId w:val="13"/>
  </w:num>
  <w:num w:numId="9">
    <w:abstractNumId w:val="18"/>
  </w:num>
  <w:num w:numId="10">
    <w:abstractNumId w:val="7"/>
  </w:num>
  <w:num w:numId="11">
    <w:abstractNumId w:val="20"/>
  </w:num>
  <w:num w:numId="12">
    <w:abstractNumId w:val="10"/>
  </w:num>
  <w:num w:numId="13">
    <w:abstractNumId w:val="9"/>
  </w:num>
  <w:num w:numId="14">
    <w:abstractNumId w:val="1"/>
  </w:num>
  <w:num w:numId="15">
    <w:abstractNumId w:val="15"/>
  </w:num>
  <w:num w:numId="16">
    <w:abstractNumId w:val="16"/>
  </w:num>
  <w:num w:numId="17">
    <w:abstractNumId w:val="3"/>
  </w:num>
  <w:num w:numId="18">
    <w:abstractNumId w:val="12"/>
  </w:num>
  <w:num w:numId="19">
    <w:abstractNumId w:val="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0A"/>
    <w:rsid w:val="00135A4C"/>
    <w:rsid w:val="00205423"/>
    <w:rsid w:val="00270C0C"/>
    <w:rsid w:val="0031492C"/>
    <w:rsid w:val="0033041E"/>
    <w:rsid w:val="003B191C"/>
    <w:rsid w:val="003D5577"/>
    <w:rsid w:val="00456051"/>
    <w:rsid w:val="004D7E13"/>
    <w:rsid w:val="004F1A0A"/>
    <w:rsid w:val="005E3CB3"/>
    <w:rsid w:val="00673CF1"/>
    <w:rsid w:val="006903A0"/>
    <w:rsid w:val="006A6500"/>
    <w:rsid w:val="00881694"/>
    <w:rsid w:val="009208F3"/>
    <w:rsid w:val="0092398C"/>
    <w:rsid w:val="009C595D"/>
    <w:rsid w:val="00A87430"/>
    <w:rsid w:val="00B8534F"/>
    <w:rsid w:val="00BD017D"/>
    <w:rsid w:val="00BF62F2"/>
    <w:rsid w:val="00D60A05"/>
    <w:rsid w:val="00D75FDA"/>
    <w:rsid w:val="00DA3B98"/>
    <w:rsid w:val="00DB66D0"/>
    <w:rsid w:val="00DC7A41"/>
    <w:rsid w:val="00EB046F"/>
    <w:rsid w:val="00EE0797"/>
    <w:rsid w:val="00F20845"/>
    <w:rsid w:val="00F35282"/>
    <w:rsid w:val="00F6657B"/>
    <w:rsid w:val="00FA1C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F1A0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1A0A"/>
  </w:style>
  <w:style w:type="paragraph" w:styleId="Rodap">
    <w:name w:val="footer"/>
    <w:basedOn w:val="Normal"/>
    <w:link w:val="RodapCarcter"/>
    <w:uiPriority w:val="99"/>
    <w:unhideWhenUsed/>
    <w:rsid w:val="004F1A0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F1A0A"/>
  </w:style>
  <w:style w:type="paragraph" w:styleId="PargrafodaLista">
    <w:name w:val="List Paragraph"/>
    <w:basedOn w:val="Normal"/>
    <w:uiPriority w:val="34"/>
    <w:qFormat/>
    <w:rsid w:val="00DA3B98"/>
    <w:pPr>
      <w:ind w:left="720"/>
      <w:contextualSpacing/>
    </w:pPr>
  </w:style>
  <w:style w:type="paragraph" w:customStyle="1" w:styleId="Default">
    <w:name w:val="Default"/>
    <w:rsid w:val="00205423"/>
    <w:pPr>
      <w:autoSpaceDE w:val="0"/>
      <w:autoSpaceDN w:val="0"/>
      <w:adjustRightInd w:val="0"/>
      <w:spacing w:after="0" w:line="240" w:lineRule="auto"/>
    </w:pPr>
    <w:rPr>
      <w:rFonts w:ascii="Calibri" w:hAnsi="Calibri" w:cs="Calibri"/>
      <w:color w:val="000000"/>
      <w:sz w:val="24"/>
      <w:szCs w:val="24"/>
    </w:rPr>
  </w:style>
  <w:style w:type="table" w:styleId="Tabelacomgrelha">
    <w:name w:val="Table Grid"/>
    <w:basedOn w:val="Tabelanormal"/>
    <w:uiPriority w:val="39"/>
    <w:rsid w:val="0020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F1A0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1A0A"/>
  </w:style>
  <w:style w:type="paragraph" w:styleId="Rodap">
    <w:name w:val="footer"/>
    <w:basedOn w:val="Normal"/>
    <w:link w:val="RodapCarcter"/>
    <w:uiPriority w:val="99"/>
    <w:unhideWhenUsed/>
    <w:rsid w:val="004F1A0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F1A0A"/>
  </w:style>
  <w:style w:type="paragraph" w:styleId="PargrafodaLista">
    <w:name w:val="List Paragraph"/>
    <w:basedOn w:val="Normal"/>
    <w:uiPriority w:val="34"/>
    <w:qFormat/>
    <w:rsid w:val="00DA3B98"/>
    <w:pPr>
      <w:ind w:left="720"/>
      <w:contextualSpacing/>
    </w:pPr>
  </w:style>
  <w:style w:type="paragraph" w:customStyle="1" w:styleId="Default">
    <w:name w:val="Default"/>
    <w:rsid w:val="00205423"/>
    <w:pPr>
      <w:autoSpaceDE w:val="0"/>
      <w:autoSpaceDN w:val="0"/>
      <w:adjustRightInd w:val="0"/>
      <w:spacing w:after="0" w:line="240" w:lineRule="auto"/>
    </w:pPr>
    <w:rPr>
      <w:rFonts w:ascii="Calibri" w:hAnsi="Calibri" w:cs="Calibri"/>
      <w:color w:val="000000"/>
      <w:sz w:val="24"/>
      <w:szCs w:val="24"/>
    </w:rPr>
  </w:style>
  <w:style w:type="table" w:styleId="Tabelacomgrelha">
    <w:name w:val="Table Grid"/>
    <w:basedOn w:val="Tabelanormal"/>
    <w:uiPriority w:val="39"/>
    <w:rsid w:val="0020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1276</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Pedro</dc:creator>
  <cp:lastModifiedBy>Anabela Malo</cp:lastModifiedBy>
  <cp:revision>3</cp:revision>
  <dcterms:created xsi:type="dcterms:W3CDTF">2020-05-17T14:45:00Z</dcterms:created>
  <dcterms:modified xsi:type="dcterms:W3CDTF">2020-05-17T14:47:00Z</dcterms:modified>
</cp:coreProperties>
</file>